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2523" w:right="187" w:hanging="2432"/>
        <w:outlineLvl w:val="0"/>
        <w:rPr>
          <w:sz w:val="43"/>
          <w:szCs w:val="43"/>
        </w:rPr>
      </w:pPr>
      <w:r>
        <w:rPr>
          <w:b/>
          <w:bCs/>
          <w:spacing w:val="6"/>
          <w:sz w:val="43"/>
          <w:szCs w:val="43"/>
        </w:rPr>
        <w:t>河南理工大学煤层生物气高效菌种驯化及生化指</w:t>
      </w:r>
      <w:r>
        <w:rPr>
          <w:spacing w:val="6"/>
          <w:sz w:val="43"/>
          <w:szCs w:val="43"/>
        </w:rPr>
        <w:t xml:space="preserve"> </w:t>
      </w:r>
      <w:r>
        <w:rPr>
          <w:b/>
          <w:bCs/>
          <w:spacing w:val="4"/>
          <w:sz w:val="43"/>
          <w:szCs w:val="43"/>
        </w:rPr>
        <w:t>标监测平台采购合同书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3"/>
        </w:rPr>
        <w:t>备案编号：</w:t>
      </w:r>
      <w:r>
        <w:rPr>
          <w:rFonts w:ascii="Times New Roman" w:hAnsi="Times New Roman" w:eastAsia="Times New Roman" w:cs="Times New Roman"/>
          <w:spacing w:val="-3"/>
        </w:rPr>
        <w:t xml:space="preserve">HPU </w:t>
      </w:r>
      <w:r>
        <w:rPr>
          <w:spacing w:val="-3"/>
        </w:rPr>
        <w:t>政采</w:t>
      </w:r>
      <w:r>
        <w:rPr>
          <w:rFonts w:ascii="Times New Roman" w:hAnsi="Times New Roman" w:eastAsia="Times New Roman" w:cs="Times New Roman"/>
          <w:spacing w:val="-3"/>
        </w:rPr>
        <w:t>-2024-A-</w:t>
      </w:r>
      <w:r>
        <w:rPr>
          <w:rFonts w:ascii="Times New Roman" w:hAnsi="Times New Roman" w:eastAsia="Times New Roman" w:cs="Times New Roman"/>
          <w:spacing w:val="49"/>
        </w:rPr>
        <w:t xml:space="preserve"> </w:t>
      </w:r>
      <w:r>
        <w:rPr>
          <w:rFonts w:ascii="Times New Roman" w:hAnsi="Times New Roman" w:eastAsia="Times New Roman" w:cs="Times New Roman"/>
          <w:spacing w:val="-3"/>
        </w:rPr>
        <w:t>11</w:t>
      </w:r>
    </w:p>
    <w:p>
      <w:pPr>
        <w:pStyle w:val="2"/>
        <w:spacing w:before="167" w:line="219" w:lineRule="auto"/>
        <w:rPr>
          <w:rFonts w:ascii="Times New Roman" w:hAnsi="Times New Roman" w:eastAsia="Times New Roman" w:cs="Times New Roman"/>
        </w:rPr>
      </w:pPr>
      <w:r>
        <w:rPr>
          <w:spacing w:val="-1"/>
        </w:rPr>
        <w:t>采购编号：豫财单一采购</w:t>
      </w:r>
      <w:r>
        <w:rPr>
          <w:rFonts w:ascii="Times New Roman" w:hAnsi="Times New Roman" w:eastAsia="Times New Roman" w:cs="Times New Roman"/>
          <w:spacing w:val="-1"/>
        </w:rPr>
        <w:t>-2024-32</w:t>
      </w:r>
    </w:p>
    <w:p>
      <w:pPr>
        <w:pStyle w:val="2"/>
        <w:spacing w:before="169" w:line="219" w:lineRule="auto"/>
        <w:ind w:left="1"/>
      </w:pPr>
      <w:r>
        <w:rPr>
          <w:spacing w:val="-1"/>
        </w:rPr>
        <w:t>供方：河南轩博科教设备有限公司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pStyle w:val="2"/>
        <w:spacing w:before="91" w:line="220" w:lineRule="auto"/>
        <w:rPr>
          <w:spacing w:val="-3"/>
        </w:rPr>
      </w:pPr>
    </w:p>
    <w:p>
      <w:pPr>
        <w:pStyle w:val="2"/>
        <w:spacing w:before="91" w:line="220" w:lineRule="auto"/>
      </w:pPr>
      <w:bookmarkStart w:id="0" w:name="_GoBack"/>
      <w:bookmarkEnd w:id="0"/>
      <w:r>
        <w:rPr>
          <w:spacing w:val="-3"/>
        </w:rPr>
        <w:t>签约时间：</w:t>
      </w:r>
      <w:r>
        <w:rPr>
          <w:rFonts w:hint="eastAsia"/>
          <w:spacing w:val="-3"/>
          <w:lang w:val="en-US" w:eastAsia="zh-CN"/>
        </w:rPr>
        <w:t>2024</w:t>
      </w:r>
      <w:r>
        <w:rPr>
          <w:spacing w:val="-3"/>
        </w:rPr>
        <w:t xml:space="preserve"> 年</w:t>
      </w:r>
      <w:r>
        <w:rPr>
          <w:spacing w:val="8"/>
        </w:rPr>
        <w:t xml:space="preserve"> </w:t>
      </w:r>
      <w:r>
        <w:rPr>
          <w:rFonts w:hint="eastAsia"/>
          <w:spacing w:val="8"/>
          <w:lang w:val="en-US" w:eastAsia="zh-CN"/>
        </w:rPr>
        <w:t>6</w:t>
      </w:r>
      <w:r>
        <w:rPr>
          <w:spacing w:val="8"/>
        </w:rPr>
        <w:t xml:space="preserve"> </w:t>
      </w:r>
      <w:r>
        <w:rPr>
          <w:spacing w:val="-3"/>
        </w:rPr>
        <w:t>月</w:t>
      </w:r>
      <w:r>
        <w:rPr>
          <w:spacing w:val="19"/>
        </w:rPr>
        <w:t xml:space="preserve"> </w:t>
      </w:r>
      <w:r>
        <w:rPr>
          <w:rFonts w:hint="eastAsia"/>
          <w:spacing w:val="19"/>
          <w:lang w:val="en-US" w:eastAsia="zh-CN"/>
        </w:rPr>
        <w:t>7</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3" w:lineRule="auto"/>
        <w:rPr>
          <w:rFonts w:ascii="Arial"/>
          <w:sz w:val="21"/>
        </w:rPr>
      </w:pPr>
    </w:p>
    <w:p>
      <w:pPr>
        <w:spacing w:line="293" w:lineRule="auto"/>
        <w:rPr>
          <w:rFonts w:ascii="Arial"/>
          <w:sz w:val="21"/>
        </w:rPr>
      </w:pPr>
    </w:p>
    <w:p>
      <w:pPr>
        <w:pStyle w:val="2"/>
        <w:spacing w:before="92" w:line="309" w:lineRule="auto"/>
        <w:ind w:left="2" w:right="97" w:firstLine="678"/>
        <w:jc w:val="both"/>
      </w:pPr>
      <w:r>
        <w:rPr>
          <w:spacing w:val="22"/>
        </w:rPr>
        <w:t>供、需双方依据河南省机电设备招标股份有限公司签发的单</w:t>
      </w:r>
      <w:r>
        <w:rPr>
          <w:spacing w:val="21"/>
        </w:rPr>
        <w:t>一来源</w:t>
      </w:r>
      <w:r>
        <w:t xml:space="preserve"> </w:t>
      </w:r>
      <w:r>
        <w:rPr>
          <w:rFonts w:ascii="Times New Roman" w:hAnsi="Times New Roman" w:eastAsia="Times New Roman" w:cs="Times New Roman"/>
        </w:rPr>
        <w:t>[</w:t>
      </w:r>
      <w:r>
        <w:t>采购编号：豫财单一采购</w:t>
      </w:r>
      <w:r>
        <w:rPr>
          <w:rFonts w:ascii="Times New Roman" w:hAnsi="Times New Roman" w:eastAsia="Times New Roman" w:cs="Times New Roman"/>
        </w:rPr>
        <w:t>-2024-32</w:t>
      </w:r>
      <w:r>
        <w:rPr>
          <w:rFonts w:ascii="Times New Roman" w:hAnsi="Times New Roman" w:eastAsia="Times New Roman" w:cs="Times New Roman"/>
          <w:spacing w:val="30"/>
        </w:rPr>
        <w:t xml:space="preserve"> </w:t>
      </w:r>
      <w:r>
        <w:t>号</w:t>
      </w:r>
      <w:r>
        <w:rPr>
          <w:rFonts w:ascii="Times New Roman" w:hAnsi="Times New Roman" w:eastAsia="Times New Roman" w:cs="Times New Roman"/>
        </w:rPr>
        <w:t>]</w:t>
      </w:r>
      <w:r>
        <w:t xml:space="preserve">成交通知书，根据《中华人民共和国民 </w:t>
      </w:r>
      <w:r>
        <w:rPr>
          <w:spacing w:val="-3"/>
        </w:rPr>
        <w:t>法典》等有关规定以及需方采购文件和供方响应文件内容，供需双方经友好协</w:t>
      </w:r>
      <w:r>
        <w:rPr>
          <w:spacing w:val="17"/>
        </w:rPr>
        <w:t xml:space="preserve"> </w:t>
      </w:r>
      <w:r>
        <w:rPr>
          <w:spacing w:val="-2"/>
        </w:rPr>
        <w:t>商，现达成以下条款：</w:t>
      </w:r>
    </w:p>
    <w:p>
      <w:pPr>
        <w:pStyle w:val="2"/>
        <w:spacing w:before="47" w:line="219" w:lineRule="auto"/>
        <w:ind w:left="567"/>
      </w:pPr>
      <w:r>
        <w:rPr>
          <w:spacing w:val="-2"/>
        </w:rPr>
        <w:t>一、合同标的与价款</w:t>
      </w:r>
    </w:p>
    <w:p>
      <w:pPr>
        <w:pStyle w:val="2"/>
        <w:spacing w:before="147" w:line="310" w:lineRule="auto"/>
        <w:ind w:left="3" w:right="99" w:firstLine="678"/>
      </w:pPr>
      <w:r>
        <w:rPr>
          <w:spacing w:val="32"/>
        </w:rPr>
        <w:t>本合同所指货物为煤层生物气高效菌种驯化及生化指标监测平台</w:t>
      </w:r>
      <w:r>
        <w:rPr>
          <w:spacing w:val="18"/>
        </w:rPr>
        <w:t xml:space="preserve"> </w:t>
      </w:r>
      <w:r>
        <w:rPr>
          <w:spacing w:val="9"/>
        </w:rPr>
        <w:t>（主要技术参数及配置见附件一、附件二</w:t>
      </w:r>
      <w:r>
        <w:rPr>
          <w:spacing w:val="-43"/>
        </w:rPr>
        <w:t>），</w:t>
      </w:r>
      <w:r>
        <w:rPr>
          <w:spacing w:val="9"/>
        </w:rPr>
        <w:t>合同总价款为人民币</w:t>
      </w:r>
      <w:r>
        <w:rPr>
          <w:spacing w:val="-22"/>
        </w:rPr>
        <w:t xml:space="preserve"> </w:t>
      </w:r>
      <w:r>
        <w:rPr>
          <w:rFonts w:ascii="Times New Roman" w:hAnsi="Times New Roman" w:eastAsia="Times New Roman" w:cs="Times New Roman"/>
          <w:spacing w:val="9"/>
        </w:rPr>
        <w:t>13</w:t>
      </w:r>
      <w:r>
        <w:rPr>
          <w:rFonts w:ascii="Times New Roman" w:hAnsi="Times New Roman" w:eastAsia="Times New Roman" w:cs="Times New Roman"/>
          <w:spacing w:val="8"/>
        </w:rPr>
        <w:t>38000</w:t>
      </w:r>
      <w:r>
        <w:rPr>
          <w:rFonts w:ascii="Times New Roman" w:hAnsi="Times New Roman" w:eastAsia="Times New Roman" w:cs="Times New Roman"/>
        </w:rPr>
        <w:t xml:space="preserve"> </w:t>
      </w:r>
      <w:r>
        <w:rPr>
          <w:spacing w:val="1"/>
        </w:rPr>
        <w:t>元（大写：壹佰叁拾叁万捌仟元整</w:t>
      </w:r>
      <w:r>
        <w:rPr>
          <w:spacing w:val="-60"/>
        </w:rPr>
        <w:t>）；</w:t>
      </w:r>
      <w:r>
        <w:rPr>
          <w:spacing w:val="1"/>
        </w:rPr>
        <w:t>该价格已经包含生产、制造、运输、装</w:t>
      </w:r>
      <w:r>
        <w:t xml:space="preserve"> </w:t>
      </w:r>
      <w:r>
        <w:rPr>
          <w:spacing w:val="-1"/>
        </w:rPr>
        <w:t>卸、安装、调试、培训、保险、税金、利润、保修等相关全部费用。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3" w:line="307" w:lineRule="auto"/>
        <w:ind w:right="97" w:firstLine="487"/>
      </w:pPr>
      <w:r>
        <w:t>货物的质量、规格、性能及技术规范等要求</w:t>
      </w:r>
      <w:r>
        <w:rPr>
          <w:spacing w:val="-1"/>
        </w:rPr>
        <w:t>详见附件一与附件二；质保期</w:t>
      </w:r>
      <w:r>
        <w:t xml:space="preserve"> </w:t>
      </w:r>
      <w:r>
        <w:rPr>
          <w:spacing w:val="-2"/>
        </w:rPr>
        <w:t>及售后服务要求按招标（采购）文件及投标（</w:t>
      </w:r>
      <w:r>
        <w:rPr>
          <w:spacing w:val="-3"/>
        </w:rPr>
        <w:t>响应）文件相应条款执行（详见</w:t>
      </w:r>
      <w:r>
        <w:t xml:space="preserve"> </w:t>
      </w:r>
      <w:r>
        <w:rPr>
          <w:spacing w:val="-22"/>
        </w:rPr>
        <w:t>附件三）。</w:t>
      </w:r>
    </w:p>
    <w:p>
      <w:pPr>
        <w:pStyle w:val="2"/>
        <w:spacing w:before="41" w:line="221" w:lineRule="auto"/>
        <w:ind w:left="541"/>
      </w:pPr>
      <w:r>
        <w:rPr>
          <w:spacing w:val="-1"/>
        </w:rPr>
        <w:t>三、合同履行的地点及进度</w:t>
      </w:r>
    </w:p>
    <w:p>
      <w:pPr>
        <w:pStyle w:val="2"/>
        <w:spacing w:before="147" w:line="307" w:lineRule="auto"/>
        <w:ind w:left="3" w:firstLine="538"/>
      </w:pPr>
      <w:r>
        <w:t>合同签字盖章后，供方应于本合同签订之日起</w:t>
      </w:r>
      <w:r>
        <w:rPr>
          <w:spacing w:val="-54"/>
        </w:rPr>
        <w:t xml:space="preserve"> </w:t>
      </w:r>
      <w:r>
        <w:rPr>
          <w:rFonts w:ascii="Times New Roman" w:hAnsi="Times New Roman" w:eastAsia="Times New Roman" w:cs="Times New Roman"/>
        </w:rPr>
        <w:t>90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部货物运送到河南理工大学能源学院指定地点，尽快完成货物的安装、调试和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6" w:line="185" w:lineRule="auto"/>
        <w:ind w:left="482"/>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p>
    <w:p>
      <w:pPr>
        <w:spacing w:line="185" w:lineRule="auto"/>
        <w:sectPr>
          <w:type w:val="continuous"/>
          <w:pgSz w:w="11906" w:h="16839"/>
          <w:pgMar w:top="1396" w:right="1130" w:bottom="646" w:left="1238" w:header="0" w:footer="410" w:gutter="0"/>
          <w:cols w:equalWidth="0" w:num="1">
            <w:col w:w="9538"/>
          </w:cols>
        </w:sectPr>
      </w:pPr>
    </w:p>
    <w:p>
      <w:pPr>
        <w:pStyle w:val="2"/>
        <w:spacing w:before="129" w:line="303" w:lineRule="auto"/>
        <w:ind w:left="7" w:right="215" w:firstLine="48"/>
      </w:pPr>
      <w:r>
        <w:rPr>
          <w:spacing w:val="-4"/>
        </w:rPr>
        <w:t>目录索引、操作手册、使用指南、维修指南（或）服务手册）提交给需方。另</w:t>
      </w:r>
      <w:r>
        <w:t xml:space="preserve"> </w:t>
      </w:r>
      <w:r>
        <w:rPr>
          <w:spacing w:val="-1"/>
        </w:rPr>
        <w:t>外一套完整的上述资料供方应包装好随同每批货物装箱发运。</w:t>
      </w:r>
    </w:p>
    <w:p>
      <w:pPr>
        <w:pStyle w:val="2"/>
        <w:spacing w:before="41"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40"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2" w:line="220" w:lineRule="auto"/>
        <w:ind w:left="562"/>
      </w:pPr>
      <w:r>
        <w:rPr>
          <w:spacing w:val="-3"/>
        </w:rPr>
        <w:t>七、验收</w:t>
      </w:r>
    </w:p>
    <w:p>
      <w:pPr>
        <w:pStyle w:val="2"/>
        <w:spacing w:before="147"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spacing w:line="221" w:lineRule="auto"/>
        <w:sectPr>
          <w:footerReference r:id="rId6" w:type="default"/>
          <w:pgSz w:w="11906" w:h="16839"/>
          <w:pgMar w:top="1431" w:right="1013" w:bottom="645" w:left="1237" w:header="0" w:footer="410" w:gutter="0"/>
          <w:cols w:space="720" w:num="1"/>
        </w:sectPr>
      </w:pPr>
    </w:p>
    <w:p>
      <w:pPr>
        <w:pStyle w:val="2"/>
        <w:spacing w:before="129" w:line="303" w:lineRule="auto"/>
        <w:ind w:left="24" w:right="33" w:firstLine="538"/>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pPr>
        <w:pStyle w:val="2"/>
        <w:spacing w:before="41" w:line="220" w:lineRule="auto"/>
        <w:ind w:left="569"/>
      </w:pPr>
      <w:r>
        <w:rPr>
          <w:spacing w:val="-2"/>
        </w:rPr>
        <w:t>九、付款方式及期限</w:t>
      </w:r>
    </w:p>
    <w:p>
      <w:pPr>
        <w:pStyle w:val="2"/>
        <w:spacing w:before="143" w:line="310" w:lineRule="auto"/>
        <w:ind w:left="1" w:right="30"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267600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1"/>
        </w:rPr>
        <w:t xml:space="preserve">额 </w:t>
      </w:r>
      <w:r>
        <w:rPr>
          <w:rFonts w:ascii="Times New Roman" w:hAnsi="Times New Roman" w:eastAsia="Times New Roman" w:cs="Times New Roman"/>
          <w:spacing w:val="-1"/>
        </w:rPr>
        <w:t>50%</w:t>
      </w:r>
      <w:r>
        <w:rPr>
          <w:spacing w:val="-1"/>
        </w:rPr>
        <w:t>的货款 (¥</w:t>
      </w:r>
      <w:r>
        <w:rPr>
          <w:spacing w:val="-56"/>
        </w:rPr>
        <w:t xml:space="preserve"> </w:t>
      </w:r>
      <w:r>
        <w:rPr>
          <w:rFonts w:ascii="Times New Roman" w:hAnsi="Times New Roman" w:eastAsia="Times New Roman" w:cs="Times New Roman"/>
          <w:spacing w:val="-1"/>
        </w:rPr>
        <w:t xml:space="preserve">669000 </w:t>
      </w:r>
      <w:r>
        <w:rPr>
          <w:spacing w:val="-1"/>
        </w:rPr>
        <w:t>元</w:t>
      </w:r>
      <w:r>
        <w:rPr>
          <w:spacing w:val="-67"/>
        </w:rPr>
        <w:t>），</w:t>
      </w:r>
      <w:r>
        <w:rPr>
          <w:spacing w:val="-1"/>
        </w:rPr>
        <w:t>货物</w:t>
      </w:r>
      <w:r>
        <w:rPr>
          <w:spacing w:val="-2"/>
        </w:rPr>
        <w:t>经调试运行后并经供、需双方正式验收合</w:t>
      </w:r>
      <w:r>
        <w:t xml:space="preserve"> </w:t>
      </w:r>
      <w:r>
        <w:rPr>
          <w:spacing w:val="-4"/>
        </w:rPr>
        <w:t>格后，需方向供方支付剩余货款 (¥</w:t>
      </w:r>
      <w:r>
        <w:rPr>
          <w:rFonts w:ascii="Times New Roman" w:hAnsi="Times New Roman" w:eastAsia="Times New Roman" w:cs="Times New Roman"/>
          <w:spacing w:val="-4"/>
        </w:rPr>
        <w:t>40140</w:t>
      </w:r>
      <w:r>
        <w:rPr>
          <w:rFonts w:ascii="Times New Roman" w:hAnsi="Times New Roman" w:eastAsia="Times New Roman" w:cs="Times New Roman"/>
          <w:spacing w:val="-5"/>
        </w:rPr>
        <w:t xml:space="preserve">0 </w:t>
      </w:r>
      <w:r>
        <w:rPr>
          <w:spacing w:val="-5"/>
        </w:rPr>
        <w:t>元）。</w:t>
      </w:r>
    </w:p>
    <w:p>
      <w:pPr>
        <w:pStyle w:val="2"/>
        <w:spacing w:before="43" w:line="303" w:lineRule="auto"/>
        <w:ind w:left="563" w:right="909"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9" w:line="303" w:lineRule="auto"/>
        <w:ind w:left="1" w:right="30"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3"/>
      </w:pPr>
      <w:r>
        <w:rPr>
          <w:spacing w:val="-2"/>
        </w:rPr>
        <w:t>十一、知识产权</w:t>
      </w:r>
    </w:p>
    <w:p>
      <w:pPr>
        <w:pStyle w:val="2"/>
        <w:spacing w:before="146" w:line="303" w:lineRule="auto"/>
        <w:ind w:left="6"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3"/>
      </w:pPr>
      <w:r>
        <w:rPr>
          <w:spacing w:val="-2"/>
        </w:rPr>
        <w:t>十二、本合同的组成文件</w:t>
      </w:r>
    </w:p>
    <w:p>
      <w:pPr>
        <w:pStyle w:val="2"/>
        <w:spacing w:before="146" w:line="308" w:lineRule="auto"/>
        <w:ind w:right="33" w:firstLine="563"/>
      </w:pPr>
      <w:r>
        <w:rPr>
          <w:spacing w:val="-3"/>
        </w:rPr>
        <w:t>本合同及附件、响应文件及其附件、采购文件及补充通知、评审中的谈判</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pPr>
        <w:pStyle w:val="2"/>
        <w:spacing w:before="40" w:line="220" w:lineRule="auto"/>
        <w:ind w:left="563"/>
      </w:pPr>
      <w:r>
        <w:rPr>
          <w:spacing w:val="-2"/>
        </w:rPr>
        <w:t>十三、违约与索赔</w:t>
      </w:r>
    </w:p>
    <w:p>
      <w:pPr>
        <w:pStyle w:val="2"/>
        <w:spacing w:before="144" w:line="310" w:lineRule="auto"/>
        <w:ind w:left="2" w:right="30"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2" w:right="30"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9" w:right="30"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219" w:lineRule="auto"/>
        <w:ind w:right="30"/>
        <w:jc w:val="right"/>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p>
    <w:p>
      <w:pPr>
        <w:spacing w:line="219" w:lineRule="auto"/>
        <w:sectPr>
          <w:footerReference r:id="rId7" w:type="default"/>
          <w:pgSz w:w="11906" w:h="16839"/>
          <w:pgMar w:top="1431" w:right="1197" w:bottom="645" w:left="1238" w:header="0" w:footer="410" w:gutter="0"/>
          <w:cols w:space="720" w:num="1"/>
        </w:sectPr>
      </w:pPr>
    </w:p>
    <w:p>
      <w:pPr>
        <w:pStyle w:val="2"/>
        <w:spacing w:before="129" w:line="303" w:lineRule="auto"/>
        <w:ind w:firstLine="23"/>
      </w:pPr>
      <w:r>
        <w:rPr>
          <w:spacing w:val="-8"/>
        </w:rPr>
        <w:t>的一切损失和费用，包括利息、银行手续费、运费、保险费</w:t>
      </w:r>
      <w:r>
        <w:rPr>
          <w:spacing w:val="-9"/>
        </w:rPr>
        <w:t>、检验费、仓储费、</w:t>
      </w:r>
      <w:r>
        <w:t xml:space="preserve"> </w:t>
      </w:r>
      <w:r>
        <w:rPr>
          <w:spacing w:val="-1"/>
        </w:rPr>
        <w:t>装卸费以及为看管和保护退回货物所需的其它必要费用。</w:t>
      </w:r>
    </w:p>
    <w:p>
      <w:pPr>
        <w:pStyle w:val="2"/>
        <w:spacing w:before="42"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1"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06"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1"/>
        </w:rPr>
        <w:t>4.</w:t>
      </w:r>
      <w:r>
        <w:rPr>
          <w:spacing w:val="-1"/>
        </w:rPr>
        <w:t xml:space="preserve">本合同（共 </w:t>
      </w:r>
      <w:r>
        <w:rPr>
          <w:rFonts w:ascii="Times New Roman" w:hAnsi="Times New Roman" w:eastAsia="Times New Roman" w:cs="Times New Roman"/>
          <w:spacing w:val="-1"/>
        </w:rPr>
        <w:t xml:space="preserve">12 </w:t>
      </w:r>
      <w:r>
        <w:rPr>
          <w:spacing w:val="-1"/>
        </w:rPr>
        <w:t>页）一式九份，需方五份，</w:t>
      </w:r>
      <w:r>
        <w:rPr>
          <w:spacing w:val="-2"/>
        </w:rPr>
        <w:t>供方二份，招标公司二份。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pPr>
    </w:p>
    <w:p>
      <w:pPr>
        <w:spacing w:before="36"/>
      </w:pPr>
    </w:p>
    <w:p>
      <w:pPr>
        <w:spacing w:before="36"/>
        <w:rPr>
          <w:rFonts w:hint="eastAsia" w:eastAsia="宋体"/>
          <w:lang w:eastAsia="zh-CN"/>
        </w:rPr>
      </w:pPr>
      <w:r>
        <w:rPr>
          <w:rFonts w:hint="eastAsia" w:eastAsia="宋体"/>
          <w:lang w:eastAsia="zh-CN"/>
        </w:rPr>
        <w:drawing>
          <wp:inline distT="0" distB="0" distL="114300" distR="114300">
            <wp:extent cx="6101080" cy="8138160"/>
            <wp:effectExtent l="0" t="0" r="13970" b="15240"/>
            <wp:docPr id="1" name="图片 1" descr="微信图片_2024060715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07151639"/>
                    <pic:cNvPicPr>
                      <a:picLocks noChangeAspect="1"/>
                    </pic:cNvPicPr>
                  </pic:nvPicPr>
                  <pic:blipFill>
                    <a:blip r:embed="rId17"/>
                    <a:stretch>
                      <a:fillRect/>
                    </a:stretch>
                  </pic:blipFill>
                  <pic:spPr>
                    <a:xfrm>
                      <a:off x="0" y="0"/>
                      <a:ext cx="6101080" cy="8138160"/>
                    </a:xfrm>
                    <a:prstGeom prst="rect">
                      <a:avLst/>
                    </a:prstGeom>
                  </pic:spPr>
                </pic:pic>
              </a:graphicData>
            </a:graphic>
          </wp:inline>
        </w:drawing>
      </w:r>
    </w:p>
    <w:p>
      <w:pPr>
        <w:spacing w:before="36"/>
      </w:pPr>
    </w:p>
    <w:p>
      <w:pPr>
        <w:spacing w:before="36"/>
      </w:pPr>
    </w:p>
    <w:p>
      <w:pPr>
        <w:pStyle w:val="2"/>
        <w:spacing w:before="128" w:line="219" w:lineRule="auto"/>
        <w:ind w:left="297"/>
        <w:rPr>
          <w:b/>
          <w:bCs/>
          <w:spacing w:val="-9"/>
          <w:sz w:val="30"/>
          <w:szCs w:val="30"/>
        </w:rPr>
      </w:pPr>
    </w:p>
    <w:p>
      <w:pPr>
        <w:pStyle w:val="2"/>
        <w:spacing w:before="128" w:line="219" w:lineRule="auto"/>
        <w:ind w:left="297"/>
        <w:rPr>
          <w:b/>
          <w:bCs/>
          <w:spacing w:val="-9"/>
          <w:sz w:val="30"/>
          <w:szCs w:val="30"/>
        </w:rPr>
      </w:pPr>
    </w:p>
    <w:p>
      <w:pPr>
        <w:pStyle w:val="2"/>
        <w:spacing w:before="128" w:line="219" w:lineRule="auto"/>
        <w:ind w:left="297"/>
        <w:rPr>
          <w:sz w:val="30"/>
          <w:szCs w:val="30"/>
        </w:rPr>
      </w:pPr>
      <w:r>
        <w:rPr>
          <w:b/>
          <w:bCs/>
          <w:spacing w:val="-9"/>
          <w:sz w:val="30"/>
          <w:szCs w:val="30"/>
        </w:rPr>
        <w:t>附件一</w:t>
      </w:r>
    </w:p>
    <w:p>
      <w:pPr>
        <w:pStyle w:val="2"/>
        <w:spacing w:before="47" w:line="212" w:lineRule="auto"/>
        <w:ind w:left="3574"/>
        <w:outlineLvl w:val="1"/>
        <w:rPr>
          <w:sz w:val="30"/>
          <w:szCs w:val="30"/>
        </w:rPr>
      </w:pPr>
      <w:r>
        <w:rPr>
          <w:b/>
          <w:bCs/>
          <w:spacing w:val="-5"/>
          <w:sz w:val="30"/>
          <w:szCs w:val="30"/>
        </w:rPr>
        <w:t>货物规格价格一览表</w:t>
      </w: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2363"/>
        <w:gridCol w:w="3417"/>
        <w:gridCol w:w="1003"/>
        <w:gridCol w:w="1058"/>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3" w:hRule="atLeast"/>
        </w:trPr>
        <w:tc>
          <w:tcPr>
            <w:tcW w:w="765" w:type="dxa"/>
            <w:vAlign w:val="top"/>
          </w:tcPr>
          <w:p>
            <w:pPr>
              <w:pStyle w:val="6"/>
              <w:spacing w:before="290" w:line="221" w:lineRule="auto"/>
              <w:ind w:left="146"/>
            </w:pPr>
            <w:r>
              <w:rPr>
                <w:b/>
                <w:bCs/>
                <w:spacing w:val="-7"/>
              </w:rPr>
              <w:t>序号</w:t>
            </w:r>
          </w:p>
        </w:tc>
        <w:tc>
          <w:tcPr>
            <w:tcW w:w="2363" w:type="dxa"/>
            <w:vAlign w:val="top"/>
          </w:tcPr>
          <w:p>
            <w:pPr>
              <w:pStyle w:val="6"/>
              <w:spacing w:before="290" w:line="219" w:lineRule="auto"/>
              <w:ind w:left="710"/>
            </w:pPr>
            <w:r>
              <w:rPr>
                <w:b/>
                <w:bCs/>
                <w:spacing w:val="-6"/>
              </w:rPr>
              <w:t>货物名称</w:t>
            </w:r>
          </w:p>
        </w:tc>
        <w:tc>
          <w:tcPr>
            <w:tcW w:w="3417" w:type="dxa"/>
            <w:vAlign w:val="top"/>
          </w:tcPr>
          <w:p>
            <w:pPr>
              <w:pStyle w:val="6"/>
              <w:spacing w:before="291" w:line="219" w:lineRule="auto"/>
              <w:ind w:left="770"/>
            </w:pPr>
            <w:r>
              <w:rPr>
                <w:b/>
                <w:bCs/>
                <w:spacing w:val="-6"/>
              </w:rPr>
              <w:t>品牌型号及制造商</w:t>
            </w:r>
          </w:p>
        </w:tc>
        <w:tc>
          <w:tcPr>
            <w:tcW w:w="1003" w:type="dxa"/>
            <w:vAlign w:val="top"/>
          </w:tcPr>
          <w:p>
            <w:pPr>
              <w:pStyle w:val="6"/>
              <w:spacing w:before="291" w:line="219" w:lineRule="auto"/>
              <w:ind w:left="268"/>
            </w:pPr>
            <w:r>
              <w:rPr>
                <w:b/>
                <w:bCs/>
                <w:spacing w:val="-9"/>
              </w:rPr>
              <w:t>数量</w:t>
            </w:r>
          </w:p>
        </w:tc>
        <w:tc>
          <w:tcPr>
            <w:tcW w:w="1058" w:type="dxa"/>
            <w:vAlign w:val="top"/>
          </w:tcPr>
          <w:p>
            <w:pPr>
              <w:pStyle w:val="6"/>
              <w:spacing w:before="110" w:line="251" w:lineRule="auto"/>
              <w:ind w:left="187" w:right="184" w:firstLine="110"/>
            </w:pPr>
            <w:r>
              <w:rPr>
                <w:b/>
                <w:bCs/>
                <w:spacing w:val="-9"/>
              </w:rPr>
              <w:t>单价</w:t>
            </w:r>
            <w:r>
              <w:t xml:space="preserve">  </w:t>
            </w:r>
            <w:r>
              <w:rPr>
                <w:b/>
                <w:bCs/>
                <w:spacing w:val="-16"/>
              </w:rPr>
              <w:t>（元）</w:t>
            </w:r>
          </w:p>
        </w:tc>
        <w:tc>
          <w:tcPr>
            <w:tcW w:w="1060" w:type="dxa"/>
            <w:vAlign w:val="top"/>
          </w:tcPr>
          <w:p>
            <w:pPr>
              <w:pStyle w:val="6"/>
              <w:spacing w:before="110" w:line="251" w:lineRule="auto"/>
              <w:ind w:left="185" w:right="188" w:firstLine="111"/>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765" w:type="dxa"/>
            <w:vAlign w:val="top"/>
          </w:tcPr>
          <w:p>
            <w:pPr>
              <w:spacing w:line="414" w:lineRule="auto"/>
              <w:rPr>
                <w:rFonts w:ascii="Arial"/>
                <w:sz w:val="21"/>
              </w:rPr>
            </w:pPr>
          </w:p>
          <w:p>
            <w:pPr>
              <w:spacing w:before="69" w:line="188" w:lineRule="auto"/>
              <w:ind w:left="34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363" w:type="dxa"/>
            <w:vAlign w:val="top"/>
          </w:tcPr>
          <w:p>
            <w:pPr>
              <w:pStyle w:val="6"/>
              <w:spacing w:before="84" w:line="219" w:lineRule="auto"/>
              <w:ind w:left="223"/>
            </w:pPr>
            <w:r>
              <w:rPr>
                <w:b/>
                <w:bCs/>
                <w:spacing w:val="-3"/>
              </w:rPr>
              <w:t>煤层生物气高效菌</w:t>
            </w:r>
          </w:p>
          <w:p>
            <w:pPr>
              <w:pStyle w:val="6"/>
              <w:spacing w:before="74" w:line="220" w:lineRule="auto"/>
              <w:ind w:left="222"/>
            </w:pPr>
            <w:r>
              <w:rPr>
                <w:b/>
                <w:bCs/>
                <w:spacing w:val="-3"/>
              </w:rPr>
              <w:t>种驯化及生化指标</w:t>
            </w:r>
          </w:p>
          <w:p>
            <w:pPr>
              <w:pStyle w:val="6"/>
              <w:spacing w:before="73" w:line="207" w:lineRule="auto"/>
              <w:ind w:left="705"/>
            </w:pPr>
            <w:r>
              <w:rPr>
                <w:b/>
                <w:bCs/>
                <w:spacing w:val="-5"/>
              </w:rPr>
              <w:t>监测平台</w:t>
            </w:r>
          </w:p>
        </w:tc>
        <w:tc>
          <w:tcPr>
            <w:tcW w:w="3417" w:type="dxa"/>
            <w:vAlign w:val="top"/>
          </w:tcPr>
          <w:p>
            <w:pPr>
              <w:pStyle w:val="6"/>
              <w:spacing w:before="264" w:line="220" w:lineRule="auto"/>
              <w:ind w:left="717"/>
              <w:rPr>
                <w:rFonts w:ascii="Times New Roman" w:hAnsi="Times New Roman" w:eastAsia="Times New Roman" w:cs="Times New Roman"/>
              </w:rPr>
            </w:pPr>
            <w:r>
              <w:rPr>
                <w:spacing w:val="-2"/>
              </w:rPr>
              <w:t>天木生物</w:t>
            </w:r>
            <w:r>
              <w:rPr>
                <w:spacing w:val="-56"/>
              </w:rPr>
              <w:t xml:space="preserve"> </w:t>
            </w:r>
            <w:r>
              <w:rPr>
                <w:rFonts w:ascii="Times New Roman" w:hAnsi="Times New Roman" w:eastAsia="Times New Roman" w:cs="Times New Roman"/>
                <w:spacing w:val="-2"/>
              </w:rPr>
              <w:t>MBFP-T1</w:t>
            </w:r>
          </w:p>
          <w:p>
            <w:pPr>
              <w:pStyle w:val="6"/>
              <w:spacing w:before="74" w:line="220" w:lineRule="auto"/>
              <w:ind w:left="276"/>
            </w:pPr>
            <w:r>
              <w:rPr>
                <w:spacing w:val="-1"/>
              </w:rPr>
              <w:t>洛阳化清天木生物有限公司</w:t>
            </w:r>
          </w:p>
        </w:tc>
        <w:tc>
          <w:tcPr>
            <w:tcW w:w="1003" w:type="dxa"/>
            <w:vAlign w:val="top"/>
          </w:tcPr>
          <w:p>
            <w:pPr>
              <w:spacing w:line="414" w:lineRule="auto"/>
              <w:rPr>
                <w:rFonts w:ascii="Arial"/>
                <w:sz w:val="21"/>
              </w:rPr>
            </w:pPr>
          </w:p>
          <w:p>
            <w:pPr>
              <w:spacing w:before="69" w:line="188" w:lineRule="auto"/>
              <w:ind w:left="46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58" w:type="dxa"/>
            <w:vAlign w:val="top"/>
          </w:tcPr>
          <w:p>
            <w:pPr>
              <w:spacing w:line="414" w:lineRule="auto"/>
              <w:rPr>
                <w:rFonts w:ascii="Arial"/>
                <w:sz w:val="21"/>
              </w:rPr>
            </w:pPr>
          </w:p>
          <w:p>
            <w:pPr>
              <w:spacing w:before="6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1338000</w:t>
            </w:r>
          </w:p>
        </w:tc>
        <w:tc>
          <w:tcPr>
            <w:tcW w:w="1060" w:type="dxa"/>
            <w:vAlign w:val="top"/>
          </w:tcPr>
          <w:p>
            <w:pPr>
              <w:spacing w:line="414" w:lineRule="auto"/>
              <w:rPr>
                <w:rFonts w:ascii="Arial"/>
                <w:sz w:val="21"/>
              </w:rPr>
            </w:pPr>
          </w:p>
          <w:p>
            <w:pPr>
              <w:spacing w:before="69" w:line="188" w:lineRule="auto"/>
              <w:ind w:left="1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1338000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606" w:type="dxa"/>
            <w:gridSpan w:val="5"/>
            <w:vAlign w:val="top"/>
          </w:tcPr>
          <w:p>
            <w:pPr>
              <w:pStyle w:val="6"/>
              <w:spacing w:before="253" w:line="219" w:lineRule="auto"/>
              <w:ind w:left="2384"/>
            </w:pPr>
            <w:r>
              <w:rPr>
                <w:b/>
                <w:bCs/>
                <w:spacing w:val="-3"/>
              </w:rPr>
              <w:t>合计：人民币壹佰叁拾叁万捌仟元整</w:t>
            </w:r>
          </w:p>
        </w:tc>
        <w:tc>
          <w:tcPr>
            <w:tcW w:w="1060" w:type="dxa"/>
            <w:vAlign w:val="top"/>
          </w:tcPr>
          <w:p>
            <w:pPr>
              <w:spacing w:before="295" w:line="188" w:lineRule="auto"/>
              <w:ind w:left="1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1338000</w:t>
            </w:r>
          </w:p>
        </w:tc>
      </w:tr>
    </w:tbl>
    <w:p>
      <w:pPr>
        <w:rPr>
          <w:rFonts w:ascii="Arial"/>
          <w:sz w:val="21"/>
        </w:rPr>
      </w:pPr>
    </w:p>
    <w:p>
      <w:pPr>
        <w:rPr>
          <w:rFonts w:ascii="Arial" w:hAnsi="Arial" w:eastAsia="Arial" w:cs="Arial"/>
          <w:sz w:val="21"/>
          <w:szCs w:val="21"/>
        </w:rPr>
        <w:sectPr>
          <w:footerReference r:id="rId9"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4"/>
        <w:rPr>
          <w:sz w:val="24"/>
          <w:szCs w:val="24"/>
        </w:rPr>
      </w:pPr>
      <w:r>
        <w:rPr>
          <w:sz w:val="24"/>
          <w:szCs w:val="24"/>
        </w:rPr>
        <w:t>7</w:t>
      </w:r>
    </w:p>
    <w:p>
      <w:pPr>
        <w:spacing w:line="180" w:lineRule="auto"/>
        <w:rPr>
          <w:sz w:val="24"/>
          <w:szCs w:val="24"/>
        </w:rPr>
        <w:sectPr>
          <w:footerReference r:id="rId10"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8</w:t>
      </w:r>
    </w:p>
    <w:p>
      <w:pPr>
        <w:spacing w:line="181" w:lineRule="auto"/>
        <w:rPr>
          <w:sz w:val="24"/>
          <w:szCs w:val="24"/>
        </w:rPr>
        <w:sectPr>
          <w:footerReference r:id="rId11" w:type="default"/>
          <w:pgSz w:w="16839" w:h="11907"/>
          <w:pgMar w:top="6"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9</w:t>
      </w:r>
    </w:p>
    <w:p>
      <w:pPr>
        <w:spacing w:line="181" w:lineRule="auto"/>
        <w:rPr>
          <w:sz w:val="24"/>
          <w:szCs w:val="24"/>
        </w:rPr>
        <w:sectPr>
          <w:footerReference r:id="rId12" w:type="default"/>
          <w:pgSz w:w="16839" w:h="11907"/>
          <w:pgMar w:top="6" w:right="18"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10</w:t>
      </w:r>
    </w:p>
    <w:p>
      <w:pPr>
        <w:spacing w:line="182" w:lineRule="auto"/>
        <w:rPr>
          <w:sz w:val="24"/>
          <w:szCs w:val="24"/>
        </w:rPr>
        <w:sectPr>
          <w:footerReference r:id="rId13" w:type="default"/>
          <w:pgSz w:w="11907" w:h="16839"/>
          <w:pgMar w:top="18"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11</w:t>
      </w:r>
    </w:p>
    <w:p>
      <w:pPr>
        <w:spacing w:line="182" w:lineRule="auto"/>
        <w:rPr>
          <w:sz w:val="24"/>
          <w:szCs w:val="24"/>
        </w:rPr>
        <w:sectPr>
          <w:footerReference r:id="rId14" w:type="default"/>
          <w:pgSz w:w="11907" w:h="16839"/>
          <w:pgMar w:top="18" w:right="6"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15"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743"/>
      <w:rPr>
        <w:sz w:val="24"/>
        <w:szCs w:val="24"/>
      </w:rPr>
    </w:pPr>
    <w:r>
      <w:rPr>
        <w:spacing w:val="-7"/>
        <w:sz w:val="24"/>
        <w:szCs w:val="24"/>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3776592"/>
    <w:rsid w:val="080525E6"/>
    <w:rsid w:val="59393C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6.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3065</Words>
  <Characters>3171</Characters>
  <TotalTime>2</TotalTime>
  <ScaleCrop>false</ScaleCrop>
  <LinksUpToDate>false</LinksUpToDate>
  <CharactersWithSpaces>3380</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2024-06-05T11:10:00Z</dcterms:created>
  <dc:creator>Administrator</dc:creator>
  <cp:lastModifiedBy>月悦</cp:lastModifiedBy>
  <dcterms:modified xsi:type="dcterms:W3CDTF">2024-06-07T07:38:15Z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2024-06-07T15:14:10Z</vt:filetime>
  </property>
  <property fmtid="{D5CDD505-2E9C-101B-9397-08002B2CF9AE}" pid="4" name="KSOProductBuildVer">
    <vt:lpwstr>2052-12.1.0.16929</vt:lpwstr>
  </property>
  <property fmtid="{D5CDD505-2E9C-101B-9397-08002B2CF9AE}" pid="5" name="ICV">
    <vt:lpwstr>6E10889080DF425D98AC6629E3BDFC9E_12</vt:lpwstr>
  </property>
</Properties>
</file>