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E649F">
      <w:pPr>
        <w:rPr>
          <w:rFonts w:hint="eastAsia" w:ascii="宋体" w:hAnsi="宋体" w:cs="宋体"/>
          <w:b/>
          <w:bCs/>
          <w:color w:val="auto"/>
          <w:spacing w:val="-20"/>
          <w:sz w:val="52"/>
          <w:szCs w:val="52"/>
          <w:highlight w:val="none"/>
          <w:lang w:eastAsia="zh-CN"/>
        </w:rPr>
      </w:pPr>
      <w:r>
        <w:rPr>
          <w:rFonts w:hint="eastAsia" w:ascii="宋体" w:hAnsi="宋体" w:cs="宋体"/>
          <w:b/>
          <w:bCs/>
          <w:color w:val="auto"/>
          <w:spacing w:val="-20"/>
          <w:sz w:val="52"/>
          <w:szCs w:val="52"/>
          <w:highlight w:val="none"/>
          <w:lang w:eastAsia="zh-CN"/>
        </w:rPr>
        <w:drawing>
          <wp:inline distT="0" distB="0" distL="114300" distR="114300">
            <wp:extent cx="5937250" cy="8849995"/>
            <wp:effectExtent l="0" t="0" r="6350" b="8255"/>
            <wp:docPr id="3" name="图片 3" descr="83b46553e99d770331772f7e0aef1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3b46553e99d770331772f7e0aef1ca"/>
                    <pic:cNvPicPr>
                      <a:picLocks noChangeAspect="1"/>
                    </pic:cNvPicPr>
                  </pic:nvPicPr>
                  <pic:blipFill>
                    <a:blip r:embed="rId9"/>
                    <a:stretch>
                      <a:fillRect/>
                    </a:stretch>
                  </pic:blipFill>
                  <pic:spPr>
                    <a:xfrm>
                      <a:off x="0" y="0"/>
                      <a:ext cx="5937250" cy="8849995"/>
                    </a:xfrm>
                    <a:prstGeom prst="rect">
                      <a:avLst/>
                    </a:prstGeom>
                  </pic:spPr>
                </pic:pic>
              </a:graphicData>
            </a:graphic>
          </wp:inline>
        </w:drawing>
      </w:r>
    </w:p>
    <w:p w14:paraId="6003877C">
      <w:pPr>
        <w:pStyle w:val="21"/>
        <w:spacing w:line="360" w:lineRule="auto"/>
        <w:ind w:left="0" w:leftChars="0" w:firstLine="0" w:firstLineChars="0"/>
        <w:jc w:val="center"/>
        <w:rPr>
          <w:rFonts w:hint="eastAsia" w:ascii="宋体" w:hAnsi="宋体" w:cs="宋体"/>
          <w:color w:val="auto"/>
          <w:highlight w:val="none"/>
        </w:rPr>
      </w:pPr>
      <w:r>
        <w:rPr>
          <w:rFonts w:hint="eastAsia" w:ascii="宋体" w:hAnsi="宋体" w:cs="宋体"/>
          <w:b/>
          <w:bCs/>
          <w:color w:val="auto"/>
          <w:spacing w:val="-20"/>
          <w:sz w:val="52"/>
          <w:szCs w:val="52"/>
          <w:highlight w:val="none"/>
          <w:lang w:eastAsia="zh-CN"/>
        </w:rPr>
        <w:t>鲁山县城市管理局鲁山县数字城管系统升级改造项目</w:t>
      </w:r>
    </w:p>
    <w:p w14:paraId="0DC64D72">
      <w:pPr>
        <w:spacing w:line="360" w:lineRule="auto"/>
        <w:jc w:val="both"/>
        <w:rPr>
          <w:rFonts w:hint="eastAsia" w:ascii="宋体" w:hAnsi="宋体" w:cs="宋体"/>
          <w:b/>
          <w:bCs/>
          <w:color w:val="auto"/>
          <w:sz w:val="72"/>
          <w:szCs w:val="96"/>
          <w:highlight w:val="none"/>
        </w:rPr>
      </w:pPr>
    </w:p>
    <w:p w14:paraId="71675BC5">
      <w:pPr>
        <w:spacing w:line="360" w:lineRule="auto"/>
        <w:jc w:val="center"/>
        <w:rPr>
          <w:rFonts w:hint="eastAsia" w:ascii="宋体" w:hAnsi="宋体" w:cs="宋体"/>
          <w:b/>
          <w:bCs/>
          <w:color w:val="auto"/>
          <w:sz w:val="22"/>
          <w:szCs w:val="28"/>
          <w:highlight w:val="none"/>
        </w:rPr>
      </w:pPr>
      <w:r>
        <w:rPr>
          <w:rFonts w:hint="eastAsia" w:ascii="宋体" w:hAnsi="宋体" w:cs="宋体"/>
          <w:b/>
          <w:bCs/>
          <w:color w:val="auto"/>
          <w:sz w:val="72"/>
          <w:szCs w:val="96"/>
          <w:highlight w:val="none"/>
        </w:rPr>
        <w:t>招 标 文 件</w:t>
      </w:r>
    </w:p>
    <w:p w14:paraId="4A0B62E1">
      <w:pPr>
        <w:spacing w:line="360" w:lineRule="auto"/>
        <w:jc w:val="center"/>
        <w:rPr>
          <w:rFonts w:hint="eastAsia" w:ascii="宋体" w:hAnsi="宋体" w:cs="宋体"/>
          <w:b/>
          <w:bCs/>
          <w:color w:val="auto"/>
          <w:highlight w:val="none"/>
        </w:rPr>
      </w:pPr>
      <w:r>
        <w:rPr>
          <w:rFonts w:hint="eastAsia" w:ascii="宋体" w:hAnsi="宋体" w:cs="宋体"/>
          <w:b/>
          <w:bCs/>
          <w:color w:val="auto"/>
          <w:sz w:val="32"/>
          <w:szCs w:val="32"/>
          <w:highlight w:val="none"/>
        </w:rPr>
        <w:t>采购编号：</w:t>
      </w:r>
      <w:r>
        <w:rPr>
          <w:rFonts w:hint="eastAsia" w:ascii="宋体" w:hAnsi="宋体" w:cs="宋体"/>
          <w:b/>
          <w:bCs/>
          <w:color w:val="auto"/>
          <w:sz w:val="32"/>
          <w:szCs w:val="32"/>
          <w:highlight w:val="none"/>
          <w:lang w:val="en-US" w:eastAsia="zh-CN"/>
        </w:rPr>
        <w:t>鲁采招标-2024-119</w:t>
      </w:r>
      <w:r>
        <w:rPr>
          <w:rFonts w:hint="eastAsia" w:ascii="宋体" w:hAnsi="宋体" w:cs="宋体"/>
          <w:b/>
          <w:bCs/>
          <w:color w:val="auto"/>
          <w:sz w:val="32"/>
          <w:szCs w:val="32"/>
          <w:highlight w:val="none"/>
        </w:rPr>
        <w:t xml:space="preserve"> </w:t>
      </w:r>
      <w:r>
        <w:rPr>
          <w:rFonts w:hint="eastAsia" w:ascii="宋体" w:hAnsi="宋体" w:cs="宋体"/>
          <w:b/>
          <w:bCs/>
          <w:color w:val="auto"/>
          <w:sz w:val="30"/>
          <w:szCs w:val="30"/>
          <w:highlight w:val="none"/>
        </w:rPr>
        <w:t xml:space="preserve">     </w:t>
      </w:r>
    </w:p>
    <w:p w14:paraId="3678BF25">
      <w:pPr>
        <w:snapToGrid w:val="0"/>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 xml:space="preserve"> </w:t>
      </w:r>
    </w:p>
    <w:p w14:paraId="00353411">
      <w:pPr>
        <w:snapToGrid w:val="0"/>
        <w:spacing w:line="360" w:lineRule="auto"/>
        <w:jc w:val="center"/>
        <w:rPr>
          <w:rFonts w:hint="eastAsia" w:ascii="宋体" w:hAnsi="宋体" w:cs="宋体"/>
          <w:b/>
          <w:bCs/>
          <w:color w:val="auto"/>
          <w:highlight w:val="none"/>
        </w:rPr>
      </w:pPr>
    </w:p>
    <w:p w14:paraId="2C4806EA">
      <w:pPr>
        <w:pStyle w:val="21"/>
        <w:spacing w:line="360" w:lineRule="auto"/>
        <w:ind w:firstLine="400"/>
        <w:rPr>
          <w:rFonts w:hint="eastAsia" w:ascii="宋体" w:hAnsi="宋体" w:cs="宋体"/>
          <w:color w:val="auto"/>
          <w:highlight w:val="none"/>
        </w:rPr>
      </w:pPr>
    </w:p>
    <w:p w14:paraId="007DAC78">
      <w:pPr>
        <w:spacing w:line="360" w:lineRule="auto"/>
        <w:ind w:firstLine="1606" w:firstLineChars="500"/>
        <w:rPr>
          <w:rFonts w:hint="eastAsia" w:ascii="宋体" w:hAnsi="宋体" w:cs="宋体"/>
          <w:b/>
          <w:bCs/>
          <w:color w:val="auto"/>
          <w:sz w:val="32"/>
          <w:szCs w:val="32"/>
          <w:highlight w:val="none"/>
        </w:rPr>
      </w:pPr>
    </w:p>
    <w:p w14:paraId="694F498D">
      <w:pPr>
        <w:pStyle w:val="21"/>
        <w:ind w:firstLine="643"/>
        <w:rPr>
          <w:rFonts w:hint="eastAsia" w:ascii="宋体" w:hAnsi="宋体" w:cs="宋体"/>
          <w:b/>
          <w:bCs/>
          <w:color w:val="auto"/>
          <w:sz w:val="32"/>
          <w:szCs w:val="32"/>
          <w:highlight w:val="none"/>
        </w:rPr>
      </w:pPr>
    </w:p>
    <w:p w14:paraId="5829F089">
      <w:pPr>
        <w:pStyle w:val="8"/>
        <w:rPr>
          <w:rFonts w:hint="eastAsia" w:ascii="宋体" w:hAnsi="宋体" w:cs="宋体"/>
          <w:b/>
          <w:bCs/>
          <w:color w:val="auto"/>
          <w:sz w:val="32"/>
          <w:szCs w:val="32"/>
          <w:highlight w:val="none"/>
        </w:rPr>
      </w:pPr>
    </w:p>
    <w:p w14:paraId="23EEBA7D">
      <w:pPr>
        <w:pStyle w:val="18"/>
        <w:rPr>
          <w:rFonts w:hint="eastAsia" w:ascii="宋体" w:hAnsi="宋体" w:cs="宋体"/>
          <w:b/>
          <w:bCs/>
          <w:color w:val="auto"/>
          <w:sz w:val="32"/>
          <w:szCs w:val="32"/>
          <w:highlight w:val="none"/>
        </w:rPr>
      </w:pPr>
    </w:p>
    <w:p w14:paraId="0F90D1DA">
      <w:pPr>
        <w:pStyle w:val="8"/>
        <w:rPr>
          <w:rFonts w:hint="eastAsia"/>
          <w:color w:val="auto"/>
          <w:highlight w:val="none"/>
        </w:rPr>
      </w:pPr>
    </w:p>
    <w:p w14:paraId="238F624F">
      <w:pPr>
        <w:pStyle w:val="6"/>
        <w:rPr>
          <w:rFonts w:hint="eastAsia"/>
          <w:color w:val="auto"/>
          <w:highlight w:val="none"/>
        </w:rPr>
      </w:pPr>
    </w:p>
    <w:p w14:paraId="685FD16C">
      <w:pPr>
        <w:spacing w:line="360" w:lineRule="auto"/>
        <w:ind w:firstLine="2249" w:firstLineChars="700"/>
        <w:rPr>
          <w:rFonts w:hint="eastAsia" w:ascii="宋体" w:hAnsi="宋体" w:cs="宋体"/>
          <w:b/>
          <w:bCs/>
          <w:color w:val="auto"/>
          <w:sz w:val="32"/>
          <w:szCs w:val="32"/>
          <w:highlight w:val="none"/>
        </w:rPr>
      </w:pPr>
    </w:p>
    <w:p w14:paraId="467CAA6D">
      <w:pPr>
        <w:spacing w:line="360" w:lineRule="auto"/>
        <w:ind w:firstLine="2249" w:firstLineChars="7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   购   人：</w:t>
      </w:r>
      <w:r>
        <w:rPr>
          <w:rFonts w:hint="eastAsia" w:ascii="宋体" w:hAnsi="宋体" w:cs="宋体"/>
          <w:b/>
          <w:bCs/>
          <w:color w:val="auto"/>
          <w:sz w:val="32"/>
          <w:szCs w:val="32"/>
          <w:highlight w:val="none"/>
          <w:lang w:eastAsia="zh-CN"/>
        </w:rPr>
        <w:t>鲁山县城市管理局</w:t>
      </w:r>
    </w:p>
    <w:p w14:paraId="593E5262">
      <w:pPr>
        <w:spacing w:line="360" w:lineRule="auto"/>
        <w:ind w:firstLine="2249" w:firstLineChars="7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河南省亿达工程管理咨询有限公司</w:t>
      </w:r>
      <w:r>
        <w:rPr>
          <w:rFonts w:hint="eastAsia" w:ascii="宋体" w:hAnsi="宋体" w:cs="宋体"/>
          <w:b/>
          <w:bCs/>
          <w:color w:val="auto"/>
          <w:sz w:val="32"/>
          <w:szCs w:val="32"/>
          <w:highlight w:val="none"/>
        </w:rPr>
        <w:t xml:space="preserve"> </w:t>
      </w:r>
    </w:p>
    <w:p w14:paraId="78271489">
      <w:pPr>
        <w:spacing w:line="360" w:lineRule="auto"/>
        <w:ind w:firstLine="2249" w:firstLineChars="700"/>
        <w:rPr>
          <w:rFonts w:hint="eastAsia" w:ascii="宋体" w:hAnsi="宋体" w:cs="宋体"/>
          <w:color w:val="auto"/>
          <w:sz w:val="24"/>
          <w:szCs w:val="24"/>
          <w:highlight w:val="none"/>
        </w:rPr>
        <w:sectPr>
          <w:pgSz w:w="11906" w:h="16838"/>
          <w:pgMar w:top="1440" w:right="1134" w:bottom="1440" w:left="1134" w:header="851" w:footer="992" w:gutter="0"/>
          <w:cols w:space="720" w:num="1"/>
          <w:docGrid w:linePitch="312" w:charSpace="0"/>
        </w:sectPr>
      </w:pPr>
      <w:r>
        <w:rPr>
          <w:rFonts w:hint="eastAsia" w:ascii="宋体" w:hAnsi="宋体" w:cs="宋体"/>
          <w:b/>
          <w:bCs/>
          <w:color w:val="auto"/>
          <w:sz w:val="32"/>
          <w:szCs w:val="32"/>
          <w:highlight w:val="none"/>
        </w:rPr>
        <w:t>日        期：二</w:t>
      </w:r>
      <w:r>
        <w:rPr>
          <w:rFonts w:hint="eastAsia" w:ascii="宋体" w:hAnsi="宋体" w:cs="宋体"/>
          <w:b/>
          <w:bCs/>
          <w:color w:val="auto"/>
          <w:sz w:val="32"/>
          <w:szCs w:val="32"/>
          <w:highlight w:val="none"/>
          <w:lang w:val="en-US" w:eastAsia="zh-CN"/>
        </w:rPr>
        <w:t>〇</w:t>
      </w:r>
      <w:r>
        <w:rPr>
          <w:rFonts w:hint="eastAsia" w:ascii="宋体" w:hAnsi="宋体" w:cs="宋体"/>
          <w:b/>
          <w:bCs/>
          <w:color w:val="auto"/>
          <w:sz w:val="32"/>
          <w:szCs w:val="32"/>
          <w:highlight w:val="none"/>
        </w:rPr>
        <w:t>二</w:t>
      </w:r>
      <w:r>
        <w:rPr>
          <w:rFonts w:hint="eastAsia" w:ascii="宋体" w:hAnsi="宋体" w:cs="宋体"/>
          <w:b/>
          <w:bCs/>
          <w:color w:val="auto"/>
          <w:sz w:val="32"/>
          <w:szCs w:val="32"/>
          <w:highlight w:val="none"/>
          <w:lang w:val="en-US" w:eastAsia="zh-CN"/>
        </w:rPr>
        <w:t>五</w:t>
      </w:r>
      <w:r>
        <w:rPr>
          <w:rFonts w:hint="eastAsia" w:ascii="宋体" w:hAnsi="宋体" w:cs="宋体"/>
          <w:b/>
          <w:bCs/>
          <w:color w:val="auto"/>
          <w:sz w:val="32"/>
          <w:szCs w:val="32"/>
          <w:highlight w:val="none"/>
          <w:lang w:eastAsia="zh-CN"/>
        </w:rPr>
        <w:t>年</w:t>
      </w:r>
      <w:r>
        <w:rPr>
          <w:rFonts w:hint="eastAsia" w:ascii="宋体" w:hAnsi="宋体" w:cs="宋体"/>
          <w:b/>
          <w:bCs/>
          <w:color w:val="auto"/>
          <w:sz w:val="32"/>
          <w:szCs w:val="32"/>
          <w:highlight w:val="none"/>
          <w:lang w:val="en-US" w:eastAsia="zh-CN"/>
        </w:rPr>
        <w:t xml:space="preserve"> 一 </w:t>
      </w:r>
      <w:r>
        <w:rPr>
          <w:rFonts w:hint="eastAsia" w:ascii="宋体" w:hAnsi="宋体" w:cs="宋体"/>
          <w:b/>
          <w:bCs/>
          <w:color w:val="auto"/>
          <w:sz w:val="32"/>
          <w:szCs w:val="32"/>
          <w:highlight w:val="none"/>
        </w:rPr>
        <w:t>月</w:t>
      </w:r>
    </w:p>
    <w:p w14:paraId="58753AFA">
      <w:pPr>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目  录</w:t>
      </w:r>
    </w:p>
    <w:p w14:paraId="16E801F7">
      <w:pPr>
        <w:pStyle w:val="16"/>
        <w:tabs>
          <w:tab w:val="right" w:leader="dot" w:pos="9638"/>
          <w:tab w:val="clear" w:pos="9628"/>
        </w:tabs>
        <w:rPr>
          <w:sz w:val="36"/>
          <w:szCs w:val="36"/>
        </w:rPr>
      </w:pPr>
      <w:r>
        <w:rPr>
          <w:rFonts w:hint="eastAsia" w:ascii="宋体" w:hAnsi="宋体" w:cs="宋体"/>
          <w:b/>
          <w:bCs/>
          <w:color w:val="auto"/>
          <w:sz w:val="36"/>
          <w:szCs w:val="36"/>
          <w:highlight w:val="none"/>
        </w:rPr>
        <w:fldChar w:fldCharType="begin"/>
      </w:r>
      <w:r>
        <w:rPr>
          <w:rFonts w:hint="eastAsia" w:ascii="宋体" w:hAnsi="宋体" w:cs="宋体"/>
          <w:b/>
          <w:bCs/>
          <w:color w:val="auto"/>
          <w:sz w:val="36"/>
          <w:szCs w:val="36"/>
          <w:highlight w:val="none"/>
        </w:rPr>
        <w:instrText xml:space="preserve">TOC \o "1-1" \h \u </w:instrText>
      </w:r>
      <w:r>
        <w:rPr>
          <w:rFonts w:hint="eastAsia" w:ascii="宋体" w:hAnsi="宋体" w:cs="宋体"/>
          <w:b/>
          <w:bCs/>
          <w:color w:val="auto"/>
          <w:sz w:val="36"/>
          <w:szCs w:val="36"/>
          <w:highlight w:val="none"/>
        </w:rPr>
        <w:fldChar w:fldCharType="separate"/>
      </w:r>
      <w:r>
        <w:rPr>
          <w:rFonts w:hint="eastAsia" w:ascii="宋体" w:hAnsi="宋体" w:cs="宋体"/>
          <w:bCs/>
          <w:color w:val="auto"/>
          <w:sz w:val="36"/>
          <w:szCs w:val="36"/>
          <w:highlight w:val="none"/>
        </w:rPr>
        <w:fldChar w:fldCharType="begin"/>
      </w:r>
      <w:r>
        <w:rPr>
          <w:rFonts w:hint="eastAsia" w:ascii="宋体" w:hAnsi="宋体" w:cs="宋体"/>
          <w:bCs/>
          <w:sz w:val="36"/>
          <w:szCs w:val="36"/>
          <w:highlight w:val="none"/>
        </w:rPr>
        <w:instrText xml:space="preserve"> HYPERLINK \l _Toc1833 </w:instrText>
      </w:r>
      <w:r>
        <w:rPr>
          <w:rFonts w:hint="eastAsia" w:ascii="宋体" w:hAnsi="宋体" w:cs="宋体"/>
          <w:bCs/>
          <w:sz w:val="36"/>
          <w:szCs w:val="36"/>
          <w:highlight w:val="none"/>
        </w:rPr>
        <w:fldChar w:fldCharType="separate"/>
      </w:r>
      <w:r>
        <w:rPr>
          <w:rFonts w:hint="eastAsia" w:ascii="宋体" w:hAnsi="宋体" w:cs="宋体"/>
          <w:bCs/>
          <w:sz w:val="36"/>
          <w:szCs w:val="36"/>
          <w:highlight w:val="none"/>
        </w:rPr>
        <w:t>第一章  招标公告</w:t>
      </w:r>
      <w:r>
        <w:rPr>
          <w:sz w:val="36"/>
          <w:szCs w:val="36"/>
        </w:rPr>
        <w:tab/>
      </w:r>
      <w:r>
        <w:rPr>
          <w:sz w:val="36"/>
          <w:szCs w:val="36"/>
        </w:rPr>
        <w:fldChar w:fldCharType="begin"/>
      </w:r>
      <w:r>
        <w:rPr>
          <w:sz w:val="36"/>
          <w:szCs w:val="36"/>
        </w:rPr>
        <w:instrText xml:space="preserve"> PAGEREF _Toc1833 \h </w:instrText>
      </w:r>
      <w:r>
        <w:rPr>
          <w:sz w:val="36"/>
          <w:szCs w:val="36"/>
        </w:rPr>
        <w:fldChar w:fldCharType="separate"/>
      </w:r>
      <w:r>
        <w:rPr>
          <w:sz w:val="36"/>
          <w:szCs w:val="36"/>
        </w:rPr>
        <w:t>1</w:t>
      </w:r>
      <w:r>
        <w:rPr>
          <w:sz w:val="36"/>
          <w:szCs w:val="36"/>
        </w:rPr>
        <w:fldChar w:fldCharType="end"/>
      </w:r>
      <w:r>
        <w:rPr>
          <w:rFonts w:hint="eastAsia" w:ascii="宋体" w:hAnsi="宋体" w:cs="宋体"/>
          <w:bCs/>
          <w:color w:val="auto"/>
          <w:sz w:val="36"/>
          <w:szCs w:val="36"/>
          <w:highlight w:val="none"/>
        </w:rPr>
        <w:fldChar w:fldCharType="end"/>
      </w:r>
    </w:p>
    <w:p w14:paraId="6AC51242">
      <w:pPr>
        <w:pStyle w:val="16"/>
        <w:tabs>
          <w:tab w:val="right" w:leader="dot" w:pos="9638"/>
          <w:tab w:val="clear" w:pos="9628"/>
        </w:tabs>
        <w:rPr>
          <w:sz w:val="36"/>
          <w:szCs w:val="36"/>
        </w:rPr>
      </w:pPr>
      <w:r>
        <w:rPr>
          <w:rFonts w:hint="eastAsia" w:ascii="宋体" w:hAnsi="宋体" w:cs="宋体"/>
          <w:bCs/>
          <w:color w:val="auto"/>
          <w:sz w:val="36"/>
          <w:szCs w:val="36"/>
          <w:highlight w:val="none"/>
        </w:rPr>
        <w:fldChar w:fldCharType="begin"/>
      </w:r>
      <w:r>
        <w:rPr>
          <w:rFonts w:hint="eastAsia" w:ascii="宋体" w:hAnsi="宋体" w:cs="宋体"/>
          <w:bCs/>
          <w:sz w:val="36"/>
          <w:szCs w:val="36"/>
          <w:highlight w:val="none"/>
        </w:rPr>
        <w:instrText xml:space="preserve"> HYPERLINK \l _Toc27466 </w:instrText>
      </w:r>
      <w:r>
        <w:rPr>
          <w:rFonts w:hint="eastAsia" w:ascii="宋体" w:hAnsi="宋体" w:cs="宋体"/>
          <w:bCs/>
          <w:sz w:val="36"/>
          <w:szCs w:val="36"/>
          <w:highlight w:val="none"/>
        </w:rPr>
        <w:fldChar w:fldCharType="separate"/>
      </w:r>
      <w:r>
        <w:rPr>
          <w:rFonts w:hint="eastAsia" w:ascii="宋体" w:hAnsi="宋体" w:cs="宋体"/>
          <w:bCs/>
          <w:sz w:val="36"/>
          <w:szCs w:val="36"/>
          <w:highlight w:val="none"/>
        </w:rPr>
        <w:t>第二章 投标人须知</w:t>
      </w:r>
      <w:r>
        <w:rPr>
          <w:sz w:val="36"/>
          <w:szCs w:val="36"/>
        </w:rPr>
        <w:tab/>
      </w:r>
      <w:r>
        <w:rPr>
          <w:sz w:val="36"/>
          <w:szCs w:val="36"/>
        </w:rPr>
        <w:fldChar w:fldCharType="begin"/>
      </w:r>
      <w:r>
        <w:rPr>
          <w:sz w:val="36"/>
          <w:szCs w:val="36"/>
        </w:rPr>
        <w:instrText xml:space="preserve"> PAGEREF _Toc27466 \h </w:instrText>
      </w:r>
      <w:r>
        <w:rPr>
          <w:sz w:val="36"/>
          <w:szCs w:val="36"/>
        </w:rPr>
        <w:fldChar w:fldCharType="separate"/>
      </w:r>
      <w:r>
        <w:rPr>
          <w:sz w:val="36"/>
          <w:szCs w:val="36"/>
        </w:rPr>
        <w:t>6</w:t>
      </w:r>
      <w:r>
        <w:rPr>
          <w:sz w:val="36"/>
          <w:szCs w:val="36"/>
        </w:rPr>
        <w:fldChar w:fldCharType="end"/>
      </w:r>
      <w:r>
        <w:rPr>
          <w:rFonts w:hint="eastAsia" w:ascii="宋体" w:hAnsi="宋体" w:cs="宋体"/>
          <w:bCs/>
          <w:color w:val="auto"/>
          <w:sz w:val="36"/>
          <w:szCs w:val="36"/>
          <w:highlight w:val="none"/>
        </w:rPr>
        <w:fldChar w:fldCharType="end"/>
      </w:r>
    </w:p>
    <w:p w14:paraId="760A1D6E">
      <w:pPr>
        <w:pStyle w:val="16"/>
        <w:tabs>
          <w:tab w:val="right" w:leader="dot" w:pos="9638"/>
          <w:tab w:val="clear" w:pos="9628"/>
        </w:tabs>
        <w:rPr>
          <w:sz w:val="36"/>
          <w:szCs w:val="36"/>
        </w:rPr>
      </w:pPr>
      <w:r>
        <w:rPr>
          <w:rFonts w:hint="eastAsia" w:ascii="宋体" w:hAnsi="宋体" w:cs="宋体"/>
          <w:bCs/>
          <w:color w:val="auto"/>
          <w:sz w:val="36"/>
          <w:szCs w:val="36"/>
          <w:highlight w:val="none"/>
        </w:rPr>
        <w:fldChar w:fldCharType="begin"/>
      </w:r>
      <w:r>
        <w:rPr>
          <w:rFonts w:hint="eastAsia" w:ascii="宋体" w:hAnsi="宋体" w:cs="宋体"/>
          <w:bCs/>
          <w:sz w:val="36"/>
          <w:szCs w:val="36"/>
          <w:highlight w:val="none"/>
        </w:rPr>
        <w:instrText xml:space="preserve"> HYPERLINK \l _Toc13886 </w:instrText>
      </w:r>
      <w:r>
        <w:rPr>
          <w:rFonts w:hint="eastAsia" w:ascii="宋体" w:hAnsi="宋体" w:cs="宋体"/>
          <w:bCs/>
          <w:sz w:val="36"/>
          <w:szCs w:val="36"/>
          <w:highlight w:val="none"/>
        </w:rPr>
        <w:fldChar w:fldCharType="separate"/>
      </w:r>
      <w:r>
        <w:rPr>
          <w:rFonts w:hint="eastAsia" w:ascii="宋体" w:hAnsi="宋体" w:eastAsia="宋体" w:cs="宋体"/>
          <w:bCs/>
          <w:sz w:val="36"/>
          <w:szCs w:val="36"/>
          <w:highlight w:val="none"/>
        </w:rPr>
        <w:t>第三章 评标办法</w:t>
      </w:r>
      <w:r>
        <w:rPr>
          <w:sz w:val="36"/>
          <w:szCs w:val="36"/>
        </w:rPr>
        <w:tab/>
      </w:r>
      <w:r>
        <w:rPr>
          <w:sz w:val="36"/>
          <w:szCs w:val="36"/>
        </w:rPr>
        <w:fldChar w:fldCharType="begin"/>
      </w:r>
      <w:r>
        <w:rPr>
          <w:sz w:val="36"/>
          <w:szCs w:val="36"/>
        </w:rPr>
        <w:instrText xml:space="preserve"> PAGEREF _Toc13886 \h </w:instrText>
      </w:r>
      <w:r>
        <w:rPr>
          <w:sz w:val="36"/>
          <w:szCs w:val="36"/>
        </w:rPr>
        <w:fldChar w:fldCharType="separate"/>
      </w:r>
      <w:r>
        <w:rPr>
          <w:sz w:val="36"/>
          <w:szCs w:val="36"/>
        </w:rPr>
        <w:t>25</w:t>
      </w:r>
      <w:r>
        <w:rPr>
          <w:sz w:val="36"/>
          <w:szCs w:val="36"/>
        </w:rPr>
        <w:fldChar w:fldCharType="end"/>
      </w:r>
      <w:r>
        <w:rPr>
          <w:rFonts w:hint="eastAsia" w:ascii="宋体" w:hAnsi="宋体" w:cs="宋体"/>
          <w:bCs/>
          <w:color w:val="auto"/>
          <w:sz w:val="36"/>
          <w:szCs w:val="36"/>
          <w:highlight w:val="none"/>
        </w:rPr>
        <w:fldChar w:fldCharType="end"/>
      </w:r>
    </w:p>
    <w:p w14:paraId="5BD86D28">
      <w:pPr>
        <w:pStyle w:val="16"/>
        <w:tabs>
          <w:tab w:val="right" w:leader="dot" w:pos="9638"/>
          <w:tab w:val="clear" w:pos="9628"/>
        </w:tabs>
        <w:rPr>
          <w:sz w:val="36"/>
          <w:szCs w:val="36"/>
        </w:rPr>
      </w:pPr>
      <w:r>
        <w:rPr>
          <w:rFonts w:hint="eastAsia" w:ascii="宋体" w:hAnsi="宋体" w:cs="宋体"/>
          <w:bCs/>
          <w:color w:val="auto"/>
          <w:sz w:val="36"/>
          <w:szCs w:val="36"/>
          <w:highlight w:val="none"/>
        </w:rPr>
        <w:fldChar w:fldCharType="begin"/>
      </w:r>
      <w:r>
        <w:rPr>
          <w:rFonts w:hint="eastAsia" w:ascii="宋体" w:hAnsi="宋体" w:cs="宋体"/>
          <w:bCs/>
          <w:sz w:val="36"/>
          <w:szCs w:val="36"/>
          <w:highlight w:val="none"/>
        </w:rPr>
        <w:instrText xml:space="preserve"> HYPERLINK \l _Toc20628 </w:instrText>
      </w:r>
      <w:r>
        <w:rPr>
          <w:rFonts w:hint="eastAsia" w:ascii="宋体" w:hAnsi="宋体" w:cs="宋体"/>
          <w:bCs/>
          <w:sz w:val="36"/>
          <w:szCs w:val="36"/>
          <w:highlight w:val="none"/>
        </w:rPr>
        <w:fldChar w:fldCharType="separate"/>
      </w:r>
      <w:r>
        <w:rPr>
          <w:rFonts w:hint="eastAsia"/>
          <w:sz w:val="36"/>
          <w:szCs w:val="36"/>
          <w:highlight w:val="none"/>
        </w:rPr>
        <w:t>第四章 合同条款及格式</w:t>
      </w:r>
      <w:r>
        <w:rPr>
          <w:sz w:val="36"/>
          <w:szCs w:val="36"/>
        </w:rPr>
        <w:tab/>
      </w:r>
      <w:r>
        <w:rPr>
          <w:sz w:val="36"/>
          <w:szCs w:val="36"/>
        </w:rPr>
        <w:fldChar w:fldCharType="begin"/>
      </w:r>
      <w:r>
        <w:rPr>
          <w:sz w:val="36"/>
          <w:szCs w:val="36"/>
        </w:rPr>
        <w:instrText xml:space="preserve"> PAGEREF _Toc20628 \h </w:instrText>
      </w:r>
      <w:r>
        <w:rPr>
          <w:sz w:val="36"/>
          <w:szCs w:val="36"/>
        </w:rPr>
        <w:fldChar w:fldCharType="separate"/>
      </w:r>
      <w:r>
        <w:rPr>
          <w:sz w:val="36"/>
          <w:szCs w:val="36"/>
        </w:rPr>
        <w:t>33</w:t>
      </w:r>
      <w:r>
        <w:rPr>
          <w:sz w:val="36"/>
          <w:szCs w:val="36"/>
        </w:rPr>
        <w:fldChar w:fldCharType="end"/>
      </w:r>
      <w:r>
        <w:rPr>
          <w:rFonts w:hint="eastAsia" w:ascii="宋体" w:hAnsi="宋体" w:cs="宋体"/>
          <w:bCs/>
          <w:color w:val="auto"/>
          <w:sz w:val="36"/>
          <w:szCs w:val="36"/>
          <w:highlight w:val="none"/>
        </w:rPr>
        <w:fldChar w:fldCharType="end"/>
      </w:r>
    </w:p>
    <w:p w14:paraId="610ABD95">
      <w:pPr>
        <w:pStyle w:val="16"/>
        <w:tabs>
          <w:tab w:val="right" w:leader="dot" w:pos="9638"/>
          <w:tab w:val="clear" w:pos="9628"/>
        </w:tabs>
        <w:rPr>
          <w:sz w:val="36"/>
          <w:szCs w:val="36"/>
        </w:rPr>
      </w:pPr>
      <w:r>
        <w:rPr>
          <w:rFonts w:hint="eastAsia" w:ascii="宋体" w:hAnsi="宋体" w:cs="宋体"/>
          <w:bCs/>
          <w:color w:val="auto"/>
          <w:sz w:val="36"/>
          <w:szCs w:val="36"/>
          <w:highlight w:val="none"/>
        </w:rPr>
        <w:fldChar w:fldCharType="begin"/>
      </w:r>
      <w:r>
        <w:rPr>
          <w:rFonts w:hint="eastAsia" w:ascii="宋体" w:hAnsi="宋体" w:cs="宋体"/>
          <w:bCs/>
          <w:sz w:val="36"/>
          <w:szCs w:val="36"/>
          <w:highlight w:val="none"/>
        </w:rPr>
        <w:instrText xml:space="preserve"> HYPERLINK \l _Toc29524 </w:instrText>
      </w:r>
      <w:r>
        <w:rPr>
          <w:rFonts w:hint="eastAsia" w:ascii="宋体" w:hAnsi="宋体" w:cs="宋体"/>
          <w:bCs/>
          <w:sz w:val="36"/>
          <w:szCs w:val="36"/>
          <w:highlight w:val="none"/>
        </w:rPr>
        <w:fldChar w:fldCharType="separate"/>
      </w:r>
      <w:r>
        <w:rPr>
          <w:rFonts w:hint="eastAsia" w:ascii="宋体" w:hAnsi="宋体" w:eastAsia="宋体" w:cs="宋体"/>
          <w:bCs/>
          <w:sz w:val="36"/>
          <w:szCs w:val="36"/>
          <w:highlight w:val="none"/>
        </w:rPr>
        <w:t xml:space="preserve">第五章 </w:t>
      </w:r>
      <w:r>
        <w:rPr>
          <w:rFonts w:hint="eastAsia" w:ascii="宋体" w:hAnsi="宋体" w:eastAsia="宋体" w:cs="宋体"/>
          <w:bCs/>
          <w:sz w:val="36"/>
          <w:szCs w:val="36"/>
          <w:highlight w:val="none"/>
          <w:lang w:val="en-US" w:eastAsia="zh-CN"/>
        </w:rPr>
        <w:t>采购内容及技术要求</w:t>
      </w:r>
      <w:r>
        <w:rPr>
          <w:sz w:val="36"/>
          <w:szCs w:val="36"/>
        </w:rPr>
        <w:tab/>
      </w:r>
      <w:r>
        <w:rPr>
          <w:sz w:val="36"/>
          <w:szCs w:val="36"/>
        </w:rPr>
        <w:fldChar w:fldCharType="begin"/>
      </w:r>
      <w:r>
        <w:rPr>
          <w:sz w:val="36"/>
          <w:szCs w:val="36"/>
        </w:rPr>
        <w:instrText xml:space="preserve"> PAGEREF _Toc29524 \h </w:instrText>
      </w:r>
      <w:r>
        <w:rPr>
          <w:sz w:val="36"/>
          <w:szCs w:val="36"/>
        </w:rPr>
        <w:fldChar w:fldCharType="separate"/>
      </w:r>
      <w:r>
        <w:rPr>
          <w:sz w:val="36"/>
          <w:szCs w:val="36"/>
        </w:rPr>
        <w:t>39</w:t>
      </w:r>
      <w:r>
        <w:rPr>
          <w:sz w:val="36"/>
          <w:szCs w:val="36"/>
        </w:rPr>
        <w:fldChar w:fldCharType="end"/>
      </w:r>
      <w:r>
        <w:rPr>
          <w:rFonts w:hint="eastAsia" w:ascii="宋体" w:hAnsi="宋体" w:cs="宋体"/>
          <w:bCs/>
          <w:color w:val="auto"/>
          <w:sz w:val="36"/>
          <w:szCs w:val="36"/>
          <w:highlight w:val="none"/>
        </w:rPr>
        <w:fldChar w:fldCharType="end"/>
      </w:r>
    </w:p>
    <w:p w14:paraId="4BB09147">
      <w:pPr>
        <w:pStyle w:val="16"/>
        <w:tabs>
          <w:tab w:val="right" w:leader="dot" w:pos="9638"/>
          <w:tab w:val="clear" w:pos="9628"/>
        </w:tabs>
        <w:rPr>
          <w:sz w:val="36"/>
          <w:szCs w:val="36"/>
        </w:rPr>
      </w:pPr>
      <w:r>
        <w:rPr>
          <w:rFonts w:hint="eastAsia" w:ascii="宋体" w:hAnsi="宋体" w:cs="宋体"/>
          <w:bCs/>
          <w:color w:val="auto"/>
          <w:sz w:val="36"/>
          <w:szCs w:val="36"/>
          <w:highlight w:val="none"/>
        </w:rPr>
        <w:fldChar w:fldCharType="begin"/>
      </w:r>
      <w:r>
        <w:rPr>
          <w:rFonts w:hint="eastAsia" w:ascii="宋体" w:hAnsi="宋体" w:cs="宋体"/>
          <w:bCs/>
          <w:sz w:val="36"/>
          <w:szCs w:val="36"/>
          <w:highlight w:val="none"/>
        </w:rPr>
        <w:instrText xml:space="preserve"> HYPERLINK \l _Toc13179 </w:instrText>
      </w:r>
      <w:r>
        <w:rPr>
          <w:rFonts w:hint="eastAsia" w:ascii="宋体" w:hAnsi="宋体" w:cs="宋体"/>
          <w:bCs/>
          <w:sz w:val="36"/>
          <w:szCs w:val="36"/>
          <w:highlight w:val="none"/>
        </w:rPr>
        <w:fldChar w:fldCharType="separate"/>
      </w:r>
      <w:r>
        <w:rPr>
          <w:rFonts w:hint="eastAsia" w:ascii="宋体" w:hAnsi="宋体" w:cs="宋体"/>
          <w:bCs/>
          <w:sz w:val="36"/>
          <w:szCs w:val="36"/>
          <w:highlight w:val="none"/>
        </w:rPr>
        <w:t>第六章 投标文件格式</w:t>
      </w:r>
      <w:r>
        <w:rPr>
          <w:sz w:val="36"/>
          <w:szCs w:val="36"/>
        </w:rPr>
        <w:tab/>
      </w:r>
      <w:r>
        <w:rPr>
          <w:sz w:val="36"/>
          <w:szCs w:val="36"/>
        </w:rPr>
        <w:fldChar w:fldCharType="begin"/>
      </w:r>
      <w:r>
        <w:rPr>
          <w:sz w:val="36"/>
          <w:szCs w:val="36"/>
        </w:rPr>
        <w:instrText xml:space="preserve"> PAGEREF _Toc13179 \h </w:instrText>
      </w:r>
      <w:r>
        <w:rPr>
          <w:sz w:val="36"/>
          <w:szCs w:val="36"/>
        </w:rPr>
        <w:fldChar w:fldCharType="separate"/>
      </w:r>
      <w:r>
        <w:rPr>
          <w:sz w:val="36"/>
          <w:szCs w:val="36"/>
        </w:rPr>
        <w:t>43</w:t>
      </w:r>
      <w:r>
        <w:rPr>
          <w:sz w:val="36"/>
          <w:szCs w:val="36"/>
        </w:rPr>
        <w:fldChar w:fldCharType="end"/>
      </w:r>
      <w:r>
        <w:rPr>
          <w:rFonts w:hint="eastAsia" w:ascii="宋体" w:hAnsi="宋体" w:cs="宋体"/>
          <w:bCs/>
          <w:color w:val="auto"/>
          <w:sz w:val="36"/>
          <w:szCs w:val="36"/>
          <w:highlight w:val="none"/>
        </w:rPr>
        <w:fldChar w:fldCharType="end"/>
      </w:r>
    </w:p>
    <w:p w14:paraId="6FFCC9BB">
      <w:pPr>
        <w:pStyle w:val="16"/>
        <w:tabs>
          <w:tab w:val="right" w:leader="dot" w:pos="9638"/>
          <w:tab w:val="clear" w:pos="9628"/>
        </w:tabs>
        <w:rPr>
          <w:sz w:val="36"/>
          <w:szCs w:val="36"/>
        </w:rPr>
      </w:pPr>
      <w:r>
        <w:rPr>
          <w:rFonts w:hint="eastAsia" w:ascii="宋体" w:hAnsi="宋体" w:cs="宋体"/>
          <w:bCs/>
          <w:color w:val="auto"/>
          <w:sz w:val="36"/>
          <w:szCs w:val="36"/>
          <w:highlight w:val="none"/>
        </w:rPr>
        <w:fldChar w:fldCharType="begin"/>
      </w:r>
      <w:r>
        <w:rPr>
          <w:rFonts w:hint="eastAsia" w:ascii="宋体" w:hAnsi="宋体" w:cs="宋体"/>
          <w:bCs/>
          <w:sz w:val="36"/>
          <w:szCs w:val="36"/>
          <w:highlight w:val="none"/>
        </w:rPr>
        <w:instrText xml:space="preserve"> HYPERLINK \l _Toc28028 </w:instrText>
      </w:r>
      <w:r>
        <w:rPr>
          <w:rFonts w:hint="eastAsia" w:ascii="宋体" w:hAnsi="宋体" w:cs="宋体"/>
          <w:bCs/>
          <w:sz w:val="36"/>
          <w:szCs w:val="36"/>
          <w:highlight w:val="none"/>
        </w:rPr>
        <w:fldChar w:fldCharType="separate"/>
      </w:r>
      <w:r>
        <w:rPr>
          <w:rFonts w:hint="eastAsia" w:ascii="宋体" w:hAnsi="宋体" w:eastAsia="宋体" w:cs="宋体"/>
          <w:bCs/>
          <w:sz w:val="36"/>
          <w:szCs w:val="36"/>
          <w:highlight w:val="none"/>
        </w:rPr>
        <w:t>第七章 附件</w:t>
      </w:r>
      <w:r>
        <w:rPr>
          <w:sz w:val="36"/>
          <w:szCs w:val="36"/>
        </w:rPr>
        <w:tab/>
      </w:r>
      <w:r>
        <w:rPr>
          <w:sz w:val="36"/>
          <w:szCs w:val="36"/>
        </w:rPr>
        <w:fldChar w:fldCharType="begin"/>
      </w:r>
      <w:r>
        <w:rPr>
          <w:sz w:val="36"/>
          <w:szCs w:val="36"/>
        </w:rPr>
        <w:instrText xml:space="preserve"> PAGEREF _Toc28028 \h </w:instrText>
      </w:r>
      <w:r>
        <w:rPr>
          <w:sz w:val="36"/>
          <w:szCs w:val="36"/>
        </w:rPr>
        <w:fldChar w:fldCharType="separate"/>
      </w:r>
      <w:r>
        <w:rPr>
          <w:sz w:val="36"/>
          <w:szCs w:val="36"/>
        </w:rPr>
        <w:t>60</w:t>
      </w:r>
      <w:r>
        <w:rPr>
          <w:sz w:val="36"/>
          <w:szCs w:val="36"/>
        </w:rPr>
        <w:fldChar w:fldCharType="end"/>
      </w:r>
      <w:r>
        <w:rPr>
          <w:rFonts w:hint="eastAsia" w:ascii="宋体" w:hAnsi="宋体" w:cs="宋体"/>
          <w:bCs/>
          <w:color w:val="auto"/>
          <w:sz w:val="36"/>
          <w:szCs w:val="36"/>
          <w:highlight w:val="none"/>
        </w:rPr>
        <w:fldChar w:fldCharType="end"/>
      </w:r>
    </w:p>
    <w:p w14:paraId="728D4CCD">
      <w:pPr>
        <w:spacing w:line="480" w:lineRule="auto"/>
        <w:rPr>
          <w:rFonts w:hint="eastAsia" w:ascii="宋体" w:hAnsi="宋体" w:cs="宋体"/>
          <w:b/>
          <w:bCs/>
          <w:color w:val="auto"/>
          <w:sz w:val="24"/>
          <w:szCs w:val="24"/>
          <w:highlight w:val="none"/>
        </w:rPr>
        <w:sectPr>
          <w:headerReference r:id="rId3" w:type="default"/>
          <w:footerReference r:id="rId4" w:type="default"/>
          <w:type w:val="nextColumn"/>
          <w:pgSz w:w="11906" w:h="16838"/>
          <w:pgMar w:top="1440" w:right="1134" w:bottom="1440" w:left="1134" w:header="851" w:footer="992" w:gutter="0"/>
          <w:pgNumType w:start="1"/>
          <w:cols w:space="720" w:num="1"/>
          <w:docGrid w:linePitch="312" w:charSpace="0"/>
        </w:sectPr>
      </w:pPr>
      <w:r>
        <w:rPr>
          <w:rFonts w:hint="eastAsia" w:ascii="宋体" w:hAnsi="宋体" w:cs="宋体"/>
          <w:bCs/>
          <w:color w:val="auto"/>
          <w:sz w:val="36"/>
          <w:szCs w:val="36"/>
          <w:highlight w:val="none"/>
        </w:rPr>
        <w:fldChar w:fldCharType="end"/>
      </w:r>
    </w:p>
    <w:p w14:paraId="0DCFF06A">
      <w:pPr>
        <w:widowControl/>
        <w:spacing w:before="100" w:beforeAutospacing="1" w:after="100" w:afterAutospacing="1" w:line="360" w:lineRule="auto"/>
        <w:jc w:val="center"/>
        <w:outlineLvl w:val="0"/>
        <w:rPr>
          <w:rFonts w:hint="eastAsia" w:ascii="宋体" w:hAnsi="宋体" w:cs="宋体"/>
          <w:b/>
          <w:bCs/>
          <w:color w:val="auto"/>
          <w:sz w:val="36"/>
          <w:szCs w:val="36"/>
          <w:highlight w:val="none"/>
        </w:rPr>
      </w:pPr>
      <w:bookmarkStart w:id="0" w:name="_Toc31579"/>
      <w:bookmarkStart w:id="1" w:name="_Toc21063"/>
      <w:bookmarkStart w:id="2" w:name="_Toc1833"/>
      <w:r>
        <w:rPr>
          <w:rFonts w:hint="eastAsia" w:ascii="宋体" w:hAnsi="宋体" w:cs="宋体"/>
          <w:b/>
          <w:bCs/>
          <w:color w:val="auto"/>
          <w:sz w:val="36"/>
          <w:szCs w:val="36"/>
          <w:highlight w:val="none"/>
        </w:rPr>
        <w:t>第一章  招标公告</w:t>
      </w:r>
      <w:bookmarkEnd w:id="0"/>
      <w:bookmarkEnd w:id="1"/>
      <w:bookmarkEnd w:id="2"/>
    </w:p>
    <w:p w14:paraId="35C72C5E">
      <w:pPr>
        <w:spacing w:line="360" w:lineRule="auto"/>
        <w:jc w:val="center"/>
        <w:rPr>
          <w:rFonts w:hint="eastAsia" w:ascii="宋体" w:hAnsi="宋体" w:cs="宋体"/>
          <w:b/>
          <w:bCs/>
          <w:color w:val="auto"/>
          <w:sz w:val="32"/>
          <w:szCs w:val="32"/>
          <w:highlight w:val="none"/>
        </w:rPr>
      </w:pPr>
      <w:bookmarkStart w:id="3" w:name="_Toc2099_WPSOffice_Level2"/>
      <w:bookmarkStart w:id="4" w:name="_Toc22878_WPSOffice_Level2"/>
      <w:r>
        <w:rPr>
          <w:rFonts w:hint="eastAsia" w:ascii="仿宋" w:hAnsi="仿宋" w:eastAsia="仿宋" w:cs="新宋体"/>
          <w:b/>
          <w:bCs/>
          <w:color w:val="auto"/>
          <w:kern w:val="44"/>
          <w:sz w:val="32"/>
          <w:szCs w:val="32"/>
          <w:highlight w:val="none"/>
        </w:rPr>
        <w:t>【</w:t>
      </w:r>
      <w:r>
        <w:rPr>
          <w:rFonts w:hint="eastAsia" w:ascii="仿宋" w:hAnsi="仿宋" w:eastAsia="仿宋" w:cs="新宋体"/>
          <w:b/>
          <w:bCs/>
          <w:color w:val="auto"/>
          <w:kern w:val="44"/>
          <w:sz w:val="32"/>
          <w:szCs w:val="32"/>
          <w:highlight w:val="none"/>
          <w:lang w:eastAsia="zh-CN"/>
        </w:rPr>
        <w:t>平公资采202</w:t>
      </w:r>
      <w:r>
        <w:rPr>
          <w:rFonts w:hint="eastAsia" w:ascii="仿宋" w:hAnsi="仿宋" w:eastAsia="仿宋" w:cs="新宋体"/>
          <w:b/>
          <w:bCs/>
          <w:color w:val="auto"/>
          <w:kern w:val="44"/>
          <w:sz w:val="32"/>
          <w:szCs w:val="32"/>
          <w:highlight w:val="none"/>
          <w:lang w:val="en-US" w:eastAsia="zh-CN"/>
        </w:rPr>
        <w:t>5110</w:t>
      </w:r>
      <w:r>
        <w:rPr>
          <w:rFonts w:hint="eastAsia" w:ascii="仿宋" w:hAnsi="仿宋" w:eastAsia="仿宋" w:cs="新宋体"/>
          <w:b/>
          <w:bCs/>
          <w:color w:val="auto"/>
          <w:kern w:val="44"/>
          <w:sz w:val="32"/>
          <w:szCs w:val="32"/>
          <w:highlight w:val="none"/>
          <w:lang w:eastAsia="zh-CN"/>
        </w:rPr>
        <w:t>号】</w:t>
      </w:r>
      <w:r>
        <w:rPr>
          <w:rFonts w:hint="eastAsia" w:ascii="宋体" w:hAnsi="宋体" w:cs="宋体"/>
          <w:b/>
          <w:bCs/>
          <w:color w:val="auto"/>
          <w:sz w:val="32"/>
          <w:szCs w:val="32"/>
          <w:highlight w:val="none"/>
          <w:lang w:eastAsia="zh-CN"/>
        </w:rPr>
        <w:t>鲁山县城市管理局鲁山县数字城管系统升级改造项目</w:t>
      </w:r>
      <w:r>
        <w:rPr>
          <w:rFonts w:hint="eastAsia" w:ascii="宋体" w:hAnsi="宋体" w:cs="宋体"/>
          <w:b/>
          <w:bCs/>
          <w:color w:val="auto"/>
          <w:sz w:val="32"/>
          <w:szCs w:val="32"/>
          <w:highlight w:val="none"/>
          <w:lang w:val="en-US" w:eastAsia="zh-CN"/>
        </w:rPr>
        <w:t>-</w:t>
      </w:r>
      <w:r>
        <w:rPr>
          <w:rFonts w:hint="eastAsia" w:ascii="宋体" w:hAnsi="宋体" w:cs="宋体"/>
          <w:b/>
          <w:bCs/>
          <w:color w:val="auto"/>
          <w:sz w:val="32"/>
          <w:szCs w:val="32"/>
          <w:highlight w:val="none"/>
        </w:rPr>
        <w:t>公开招标公告</w:t>
      </w:r>
      <w:bookmarkEnd w:id="3"/>
      <w:bookmarkEnd w:id="4"/>
    </w:p>
    <w:p w14:paraId="7941DB8D">
      <w:pPr>
        <w:spacing w:line="360" w:lineRule="auto"/>
        <w:rPr>
          <w:rFonts w:hint="eastAsia" w:ascii="宋体" w:hAnsi="宋体" w:cs="宋体"/>
          <w:b/>
          <w:bCs/>
          <w:color w:val="auto"/>
          <w:spacing w:val="4"/>
          <w:sz w:val="24"/>
          <w:szCs w:val="24"/>
          <w:highlight w:val="none"/>
        </w:rPr>
      </w:pPr>
      <w:bookmarkStart w:id="5" w:name="_Toc433812939"/>
      <w:bookmarkStart w:id="6" w:name="_Toc26167_WPSOffice_Level2"/>
      <w:bookmarkStart w:id="7" w:name="_Toc2835_WPSOffice_Level2"/>
      <w:r>
        <w:rPr>
          <w:rFonts w:hint="eastAsia" w:ascii="宋体" w:hAnsi="宋体" w:cs="宋体"/>
          <w:b/>
          <w:bCs/>
          <w:color w:val="auto"/>
          <w:spacing w:val="4"/>
          <w:sz w:val="24"/>
          <w:szCs w:val="24"/>
          <w:highlight w:val="none"/>
        </w:rPr>
        <w:t>项目概况</w:t>
      </w:r>
    </w:p>
    <w:p w14:paraId="2BAA2F2A">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鲁山县城市管理局鲁山县数字城管系统升级改造项目</w:t>
      </w:r>
      <w:r>
        <w:rPr>
          <w:rFonts w:hint="eastAsia" w:ascii="宋体" w:hAnsi="宋体" w:cs="宋体"/>
          <w:color w:val="auto"/>
          <w:sz w:val="24"/>
          <w:szCs w:val="24"/>
          <w:highlight w:val="none"/>
        </w:rPr>
        <w:t xml:space="preserve">的潜在投标人应在平顶山市公共资源交易中心系统（ </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"http://www.pdsggzy.com/）获取招标文件，并于2021</w:instrText>
      </w:r>
      <w:r>
        <w:rPr>
          <w:rFonts w:hint="eastAsia" w:ascii="宋体" w:hAnsi="宋体" w:cs="宋体"/>
          <w:bCs/>
          <w:color w:val="auto"/>
          <w:sz w:val="24"/>
          <w:szCs w:val="24"/>
          <w:highlight w:val="none"/>
        </w:rPr>
        <w:instrText xml:space="preserve">年</w:instrText>
      </w:r>
      <w:r>
        <w:rPr>
          <w:rFonts w:hint="eastAsia" w:ascii="宋体" w:hAnsi="宋体" w:cs="宋体"/>
          <w:color w:val="auto"/>
          <w:sz w:val="24"/>
          <w:szCs w:val="24"/>
          <w:highlight w:val="none"/>
        </w:rPr>
        <w:instrText xml:space="preserve"> 7 </w:instrText>
      </w:r>
      <w:r>
        <w:rPr>
          <w:rFonts w:hint="eastAsia" w:ascii="宋体" w:hAnsi="宋体" w:cs="宋体"/>
          <w:bCs/>
          <w:color w:val="auto"/>
          <w:sz w:val="24"/>
          <w:szCs w:val="24"/>
          <w:highlight w:val="none"/>
        </w:rPr>
        <w:instrText xml:space="preserve">月</w:instrText>
      </w:r>
      <w:r>
        <w:rPr>
          <w:rFonts w:hint="eastAsia" w:ascii="宋体" w:hAnsi="宋体" w:cs="宋体"/>
          <w:color w:val="auto"/>
          <w:sz w:val="24"/>
          <w:szCs w:val="24"/>
          <w:highlight w:val="none"/>
        </w:rPr>
        <w:instrText xml:space="preserve">" </w:instrText>
      </w:r>
      <w:r>
        <w:rPr>
          <w:rFonts w:hint="eastAsia" w:ascii="宋体" w:hAnsi="宋体" w:cs="宋体"/>
          <w:color w:val="auto"/>
          <w:sz w:val="24"/>
          <w:szCs w:val="24"/>
          <w:highlight w:val="none"/>
        </w:rPr>
        <w:fldChar w:fldCharType="separate"/>
      </w:r>
      <w:r>
        <w:rPr>
          <w:rStyle w:val="25"/>
          <w:rFonts w:hint="eastAsia" w:ascii="宋体" w:hAnsi="宋体" w:cs="宋体"/>
          <w:color w:val="auto"/>
          <w:sz w:val="24"/>
          <w:szCs w:val="24"/>
          <w:highlight w:val="none"/>
          <w:u w:val="none"/>
          <w:lang w:eastAsia="zh-CN"/>
        </w:rPr>
        <w:t>http://ggzy.pds.gov.cn/</w:t>
      </w:r>
      <w:r>
        <w:rPr>
          <w:rStyle w:val="25"/>
          <w:rFonts w:hint="eastAsia" w:ascii="宋体" w:hAnsi="宋体" w:eastAsia="宋体" w:cs="宋体"/>
          <w:color w:val="auto"/>
          <w:sz w:val="24"/>
          <w:szCs w:val="24"/>
          <w:highlight w:val="none"/>
          <w:u w:val="none"/>
        </w:rPr>
        <w:t>）获取招标文件，并于</w:t>
      </w:r>
      <w:r>
        <w:rPr>
          <w:rStyle w:val="25"/>
          <w:rFonts w:hint="eastAsia" w:ascii="宋体" w:hAnsi="宋体" w:cs="宋体"/>
          <w:color w:val="auto"/>
          <w:sz w:val="24"/>
          <w:szCs w:val="24"/>
          <w:highlight w:val="none"/>
          <w:u w:val="none"/>
          <w:lang w:eastAsia="zh-CN"/>
        </w:rPr>
        <w:t>2025</w:t>
      </w:r>
      <w:r>
        <w:rPr>
          <w:rStyle w:val="25"/>
          <w:rFonts w:hint="eastAsia" w:ascii="宋体" w:hAnsi="宋体" w:eastAsia="宋体" w:cs="宋体"/>
          <w:bCs/>
          <w:color w:val="auto"/>
          <w:sz w:val="24"/>
          <w:szCs w:val="24"/>
          <w:highlight w:val="none"/>
          <w:u w:val="none"/>
        </w:rPr>
        <w:t>年</w:t>
      </w:r>
      <w:r>
        <w:rPr>
          <w:rStyle w:val="25"/>
          <w:rFonts w:hint="eastAsia" w:ascii="宋体" w:hAnsi="宋体" w:cs="宋体"/>
          <w:bCs/>
          <w:color w:val="auto"/>
          <w:sz w:val="24"/>
          <w:szCs w:val="24"/>
          <w:highlight w:val="none"/>
          <w:u w:val="none"/>
          <w:lang w:val="en-US" w:eastAsia="zh-CN"/>
        </w:rPr>
        <w:t xml:space="preserve"> 2 </w:t>
      </w:r>
      <w:r>
        <w:rPr>
          <w:rStyle w:val="25"/>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 xml:space="preserve"> 14 </w:t>
      </w:r>
      <w:r>
        <w:rPr>
          <w:rFonts w:hint="eastAsia" w:ascii="宋体" w:hAnsi="宋体" w:cs="宋体"/>
          <w:bCs/>
          <w:color w:val="auto"/>
          <w:sz w:val="24"/>
          <w:szCs w:val="24"/>
          <w:highlight w:val="none"/>
        </w:rPr>
        <w:t>日</w:t>
      </w:r>
      <w:r>
        <w:rPr>
          <w:rFonts w:hint="eastAsia" w:ascii="宋体" w:hAnsi="宋体" w:cs="宋体"/>
          <w:bCs/>
          <w:color w:val="auto"/>
          <w:sz w:val="24"/>
          <w:szCs w:val="24"/>
          <w:highlight w:val="none"/>
          <w:lang w:val="en-US" w:eastAsia="zh-CN"/>
        </w:rPr>
        <w:t xml:space="preserve">  9 </w:t>
      </w:r>
      <w:r>
        <w:rPr>
          <w:rFonts w:hint="eastAsia" w:ascii="宋体" w:hAnsi="宋体" w:cs="宋体"/>
          <w:bCs/>
          <w:color w:val="auto"/>
          <w:sz w:val="24"/>
          <w:szCs w:val="24"/>
          <w:highlight w:val="none"/>
        </w:rPr>
        <w:t>点</w:t>
      </w:r>
      <w:r>
        <w:rPr>
          <w:rFonts w:hint="eastAsia" w:ascii="宋体" w:hAnsi="宋体" w:cs="宋体"/>
          <w:bCs/>
          <w:color w:val="auto"/>
          <w:sz w:val="24"/>
          <w:szCs w:val="24"/>
          <w:highlight w:val="none"/>
          <w:lang w:val="en-US" w:eastAsia="zh-CN"/>
        </w:rPr>
        <w:t>00</w:t>
      </w:r>
      <w:r>
        <w:rPr>
          <w:rFonts w:hint="eastAsia" w:ascii="宋体" w:hAnsi="宋体" w:cs="宋体"/>
          <w:bCs/>
          <w:color w:val="auto"/>
          <w:sz w:val="24"/>
          <w:szCs w:val="24"/>
          <w:highlight w:val="none"/>
        </w:rPr>
        <w:t>分（北京时间）前递交投标文件</w:t>
      </w:r>
      <w:r>
        <w:rPr>
          <w:rFonts w:hint="eastAsia" w:ascii="宋体" w:hAnsi="宋体" w:cs="宋体"/>
          <w:color w:val="auto"/>
          <w:sz w:val="24"/>
          <w:szCs w:val="24"/>
          <w:highlight w:val="none"/>
        </w:rPr>
        <w:t>。</w:t>
      </w:r>
    </w:p>
    <w:p w14:paraId="3A79BEBC">
      <w:pPr>
        <w:spacing w:line="360" w:lineRule="auto"/>
        <w:rPr>
          <w:rFonts w:hint="eastAsia" w:ascii="宋体" w:hAnsi="宋体" w:cs="宋体"/>
          <w:b/>
          <w:bCs/>
          <w:color w:val="auto"/>
          <w:spacing w:val="4"/>
          <w:sz w:val="24"/>
          <w:szCs w:val="24"/>
          <w:highlight w:val="none"/>
        </w:rPr>
      </w:pPr>
      <w:r>
        <w:rPr>
          <w:rFonts w:hint="eastAsia" w:ascii="宋体" w:hAnsi="宋体" w:cs="宋体"/>
          <w:b/>
          <w:bCs/>
          <w:color w:val="auto"/>
          <w:spacing w:val="4"/>
          <w:sz w:val="24"/>
          <w:szCs w:val="24"/>
          <w:highlight w:val="none"/>
        </w:rPr>
        <w:t>一、</w:t>
      </w:r>
      <w:bookmarkEnd w:id="5"/>
      <w:bookmarkEnd w:id="6"/>
      <w:bookmarkEnd w:id="7"/>
      <w:r>
        <w:rPr>
          <w:rFonts w:hint="eastAsia" w:ascii="宋体" w:hAnsi="宋体" w:cs="宋体"/>
          <w:b/>
          <w:bCs/>
          <w:color w:val="auto"/>
          <w:spacing w:val="4"/>
          <w:sz w:val="24"/>
          <w:szCs w:val="24"/>
          <w:highlight w:val="none"/>
        </w:rPr>
        <w:t>项目基本情况</w:t>
      </w:r>
    </w:p>
    <w:p w14:paraId="6273B48B">
      <w:pPr>
        <w:spacing w:line="360" w:lineRule="auto"/>
        <w:ind w:firstLine="496" w:firstLineChars="200"/>
        <w:rPr>
          <w:rFonts w:hint="eastAsia" w:ascii="宋体" w:hAnsi="宋体" w:cs="宋体"/>
          <w:color w:val="auto"/>
          <w:spacing w:val="4"/>
          <w:sz w:val="24"/>
          <w:szCs w:val="24"/>
          <w:highlight w:val="none"/>
          <w:lang w:eastAsia="zh-CN"/>
        </w:rPr>
      </w:pPr>
      <w:bookmarkStart w:id="8" w:name="_Toc433616809"/>
      <w:bookmarkStart w:id="9" w:name="_Toc433614773"/>
      <w:r>
        <w:rPr>
          <w:rFonts w:hint="eastAsia" w:ascii="宋体" w:hAnsi="宋体" w:cs="宋体"/>
          <w:color w:val="auto"/>
          <w:spacing w:val="4"/>
          <w:sz w:val="24"/>
          <w:szCs w:val="24"/>
          <w:highlight w:val="none"/>
        </w:rPr>
        <w:t>1、项目名称：</w:t>
      </w:r>
      <w:bookmarkEnd w:id="8"/>
      <w:bookmarkEnd w:id="9"/>
      <w:r>
        <w:rPr>
          <w:rFonts w:hint="eastAsia" w:ascii="宋体" w:hAnsi="宋体" w:cs="宋体"/>
          <w:color w:val="auto"/>
          <w:spacing w:val="4"/>
          <w:sz w:val="24"/>
          <w:szCs w:val="24"/>
          <w:highlight w:val="none"/>
          <w:lang w:eastAsia="zh-CN"/>
        </w:rPr>
        <w:t>鲁山县城市管理局鲁山县数字城管系统升级改造项目</w:t>
      </w:r>
    </w:p>
    <w:p w14:paraId="52969109">
      <w:pPr>
        <w:spacing w:line="360" w:lineRule="auto"/>
        <w:ind w:firstLine="496"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spacing w:val="4"/>
          <w:sz w:val="24"/>
          <w:szCs w:val="24"/>
          <w:highlight w:val="none"/>
        </w:rPr>
        <w:t>2、采购编号：</w:t>
      </w:r>
      <w:bookmarkStart w:id="10" w:name="_Toc433812940"/>
      <w:r>
        <w:rPr>
          <w:rFonts w:hint="eastAsia" w:ascii="宋体" w:hAnsi="宋体" w:cs="宋体"/>
          <w:color w:val="auto"/>
          <w:spacing w:val="4"/>
          <w:sz w:val="24"/>
          <w:szCs w:val="24"/>
          <w:highlight w:val="none"/>
          <w:lang w:val="en-US" w:eastAsia="zh-CN"/>
        </w:rPr>
        <w:t>鲁采招标-2024-119</w:t>
      </w:r>
    </w:p>
    <w:bookmarkEnd w:id="10"/>
    <w:p w14:paraId="1305A7B4">
      <w:pPr>
        <w:spacing w:line="360" w:lineRule="auto"/>
        <w:ind w:firstLine="496" w:firstLineChars="20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3、采购方式：公开招标</w:t>
      </w:r>
    </w:p>
    <w:p w14:paraId="5965C68F">
      <w:pPr>
        <w:pStyle w:val="20"/>
        <w:ind w:firstLine="496"/>
        <w:rPr>
          <w:rFonts w:hint="eastAsia" w:ascii="宋体" w:hAnsi="宋体" w:cs="宋体"/>
          <w:color w:val="auto"/>
          <w:spacing w:val="4"/>
          <w:sz w:val="24"/>
          <w:szCs w:val="24"/>
          <w:highlight w:val="none"/>
          <w:lang w:val="en-US" w:eastAsia="zh-CN"/>
        </w:rPr>
      </w:pPr>
      <w:r>
        <w:rPr>
          <w:rFonts w:hint="eastAsia" w:ascii="宋体" w:hAnsi="宋体" w:cs="宋体"/>
          <w:color w:val="auto"/>
          <w:spacing w:val="4"/>
          <w:sz w:val="24"/>
          <w:szCs w:val="24"/>
          <w:highlight w:val="none"/>
        </w:rPr>
        <w:t>4、预算金额：</w:t>
      </w:r>
      <w:r>
        <w:rPr>
          <w:rFonts w:hint="eastAsia" w:ascii="宋体" w:hAnsi="宋体" w:cs="宋体"/>
          <w:color w:val="auto"/>
          <w:spacing w:val="4"/>
          <w:sz w:val="24"/>
          <w:szCs w:val="24"/>
          <w:highlight w:val="none"/>
          <w:lang w:val="en-US" w:eastAsia="zh-CN"/>
        </w:rPr>
        <w:t>1913800.00</w:t>
      </w:r>
      <w:r>
        <w:rPr>
          <w:rFonts w:hint="eastAsia" w:ascii="宋体" w:hAnsi="宋体" w:cs="宋体"/>
          <w:color w:val="auto"/>
          <w:spacing w:val="4"/>
          <w:sz w:val="24"/>
          <w:szCs w:val="24"/>
          <w:highlight w:val="none"/>
        </w:rPr>
        <w:t>元，最高限价：</w:t>
      </w:r>
      <w:r>
        <w:rPr>
          <w:rFonts w:hint="eastAsia" w:ascii="宋体" w:hAnsi="宋体" w:cs="宋体"/>
          <w:color w:val="auto"/>
          <w:spacing w:val="4"/>
          <w:sz w:val="24"/>
          <w:szCs w:val="24"/>
          <w:highlight w:val="none"/>
          <w:lang w:val="en-US" w:eastAsia="zh-CN"/>
        </w:rPr>
        <w:t>1913800.00</w:t>
      </w:r>
      <w:r>
        <w:rPr>
          <w:rFonts w:hint="eastAsia" w:ascii="宋体" w:hAnsi="宋体" w:cs="宋体"/>
          <w:color w:val="auto"/>
          <w:spacing w:val="4"/>
          <w:sz w:val="24"/>
          <w:szCs w:val="24"/>
          <w:highlight w:val="none"/>
        </w:rPr>
        <w:t>元</w:t>
      </w:r>
    </w:p>
    <w:tbl>
      <w:tblPr>
        <w:tblStyle w:val="22"/>
        <w:tblpPr w:leftFromText="180" w:rightFromText="180" w:vertAnchor="text" w:horzAnchor="page" w:tblpXSpec="center" w:tblpY="349"/>
        <w:tblOverlap w:val="never"/>
        <w:tblW w:w="9327" w:type="dxa"/>
        <w:jc w:val="center"/>
        <w:tblLayout w:type="fixed"/>
        <w:tblCellMar>
          <w:top w:w="0" w:type="dxa"/>
          <w:left w:w="108" w:type="dxa"/>
          <w:bottom w:w="0" w:type="dxa"/>
          <w:right w:w="108" w:type="dxa"/>
        </w:tblCellMar>
      </w:tblPr>
      <w:tblGrid>
        <w:gridCol w:w="713"/>
        <w:gridCol w:w="713"/>
        <w:gridCol w:w="3763"/>
        <w:gridCol w:w="2016"/>
        <w:gridCol w:w="2122"/>
      </w:tblGrid>
      <w:tr w14:paraId="72DC140A">
        <w:tblPrEx>
          <w:tblCellMar>
            <w:top w:w="0" w:type="dxa"/>
            <w:left w:w="108" w:type="dxa"/>
            <w:bottom w:w="0" w:type="dxa"/>
            <w:right w:w="108" w:type="dxa"/>
          </w:tblCellMar>
        </w:tblPrEx>
        <w:trPr>
          <w:trHeight w:val="737" w:hRule="atLeast"/>
          <w:jc w:val="center"/>
        </w:trPr>
        <w:tc>
          <w:tcPr>
            <w:tcW w:w="713" w:type="dxa"/>
            <w:tcBorders>
              <w:top w:val="single" w:color="auto" w:sz="4" w:space="0"/>
              <w:left w:val="single" w:color="auto" w:sz="4" w:space="0"/>
              <w:bottom w:val="single" w:color="auto" w:sz="4" w:space="0"/>
              <w:right w:val="single" w:color="auto" w:sz="4" w:space="0"/>
            </w:tcBorders>
            <w:noWrap/>
            <w:vAlign w:val="center"/>
          </w:tcPr>
          <w:p w14:paraId="3B9BDDA2">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713" w:type="dxa"/>
            <w:tcBorders>
              <w:top w:val="single" w:color="auto" w:sz="4" w:space="0"/>
              <w:left w:val="single" w:color="auto" w:sz="4" w:space="0"/>
              <w:bottom w:val="single" w:color="auto" w:sz="4" w:space="0"/>
              <w:right w:val="single" w:color="auto" w:sz="4" w:space="0"/>
            </w:tcBorders>
            <w:noWrap/>
            <w:vAlign w:val="center"/>
          </w:tcPr>
          <w:p w14:paraId="30349033">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包号</w:t>
            </w:r>
          </w:p>
        </w:tc>
        <w:tc>
          <w:tcPr>
            <w:tcW w:w="3763" w:type="dxa"/>
            <w:tcBorders>
              <w:top w:val="single" w:color="auto" w:sz="4" w:space="0"/>
              <w:left w:val="single" w:color="auto" w:sz="4" w:space="0"/>
              <w:bottom w:val="single" w:color="auto" w:sz="4" w:space="0"/>
              <w:right w:val="single" w:color="auto" w:sz="4" w:space="0"/>
            </w:tcBorders>
            <w:noWrap/>
            <w:vAlign w:val="center"/>
          </w:tcPr>
          <w:p w14:paraId="09ED0B4F">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包名称</w:t>
            </w:r>
          </w:p>
        </w:tc>
        <w:tc>
          <w:tcPr>
            <w:tcW w:w="2016" w:type="dxa"/>
            <w:tcBorders>
              <w:top w:val="single" w:color="auto" w:sz="4" w:space="0"/>
              <w:left w:val="single" w:color="auto" w:sz="4" w:space="0"/>
              <w:bottom w:val="single" w:color="auto" w:sz="4" w:space="0"/>
              <w:right w:val="single" w:color="auto" w:sz="4" w:space="0"/>
            </w:tcBorders>
            <w:noWrap/>
            <w:vAlign w:val="center"/>
          </w:tcPr>
          <w:p w14:paraId="5B7CD2B0">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预算（元）</w:t>
            </w:r>
          </w:p>
        </w:tc>
        <w:tc>
          <w:tcPr>
            <w:tcW w:w="2122" w:type="dxa"/>
            <w:tcBorders>
              <w:top w:val="single" w:color="auto" w:sz="4" w:space="0"/>
              <w:left w:val="single" w:color="auto" w:sz="4" w:space="0"/>
              <w:bottom w:val="single" w:color="auto" w:sz="4" w:space="0"/>
              <w:right w:val="single" w:color="auto" w:sz="4" w:space="0"/>
            </w:tcBorders>
            <w:noWrap/>
            <w:vAlign w:val="center"/>
          </w:tcPr>
          <w:p w14:paraId="38A68D25">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最高限价（元）</w:t>
            </w:r>
          </w:p>
        </w:tc>
      </w:tr>
      <w:tr w14:paraId="49FA920D">
        <w:tblPrEx>
          <w:tblCellMar>
            <w:top w:w="0" w:type="dxa"/>
            <w:left w:w="108" w:type="dxa"/>
            <w:bottom w:w="0" w:type="dxa"/>
            <w:right w:w="108" w:type="dxa"/>
          </w:tblCellMar>
        </w:tblPrEx>
        <w:trPr>
          <w:trHeight w:val="1053" w:hRule="atLeast"/>
          <w:jc w:val="center"/>
        </w:trPr>
        <w:tc>
          <w:tcPr>
            <w:tcW w:w="713" w:type="dxa"/>
            <w:tcBorders>
              <w:top w:val="single" w:color="auto" w:sz="4" w:space="0"/>
              <w:left w:val="single" w:color="auto" w:sz="4" w:space="0"/>
              <w:bottom w:val="single" w:color="auto" w:sz="4" w:space="0"/>
              <w:right w:val="single" w:color="auto" w:sz="4" w:space="0"/>
            </w:tcBorders>
            <w:noWrap/>
            <w:vAlign w:val="center"/>
          </w:tcPr>
          <w:p w14:paraId="04DF7061">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713" w:type="dxa"/>
            <w:tcBorders>
              <w:top w:val="single" w:color="auto" w:sz="4" w:space="0"/>
              <w:left w:val="single" w:color="auto" w:sz="4" w:space="0"/>
              <w:bottom w:val="single" w:color="auto" w:sz="4" w:space="0"/>
              <w:right w:val="single" w:color="auto" w:sz="4" w:space="0"/>
            </w:tcBorders>
            <w:noWrap/>
            <w:vAlign w:val="center"/>
          </w:tcPr>
          <w:p w14:paraId="37588F1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第一标段</w:t>
            </w:r>
          </w:p>
        </w:tc>
        <w:tc>
          <w:tcPr>
            <w:tcW w:w="3763" w:type="dxa"/>
            <w:tcBorders>
              <w:top w:val="single" w:color="auto" w:sz="4" w:space="0"/>
              <w:left w:val="single" w:color="auto" w:sz="4" w:space="0"/>
              <w:bottom w:val="single" w:color="auto" w:sz="4" w:space="0"/>
              <w:right w:val="single" w:color="auto" w:sz="4" w:space="0"/>
            </w:tcBorders>
            <w:noWrap/>
            <w:vAlign w:val="center"/>
          </w:tcPr>
          <w:p w14:paraId="3E4925A7">
            <w:pPr>
              <w:spacing w:line="360" w:lineRule="auto"/>
              <w:jc w:val="center"/>
              <w:rPr>
                <w:rFonts w:hint="eastAsia" w:ascii="宋体" w:hAnsi="宋体" w:eastAsia="宋体" w:cs="宋体"/>
                <w:color w:val="auto"/>
                <w:spacing w:val="4"/>
                <w:sz w:val="24"/>
                <w:szCs w:val="24"/>
                <w:highlight w:val="none"/>
                <w:lang w:eastAsia="zh-CN"/>
              </w:rPr>
            </w:pPr>
            <w:r>
              <w:rPr>
                <w:rFonts w:hint="eastAsia" w:ascii="宋体" w:hAnsi="宋体" w:cs="宋体"/>
                <w:color w:val="auto"/>
                <w:spacing w:val="4"/>
                <w:sz w:val="24"/>
                <w:szCs w:val="24"/>
                <w:highlight w:val="none"/>
                <w:lang w:eastAsia="zh-CN"/>
              </w:rPr>
              <w:t>鲁山县城市管理局鲁山县数字城管系统升级改造项目</w:t>
            </w:r>
          </w:p>
        </w:tc>
        <w:tc>
          <w:tcPr>
            <w:tcW w:w="2016" w:type="dxa"/>
            <w:tcBorders>
              <w:top w:val="single" w:color="auto" w:sz="4" w:space="0"/>
              <w:left w:val="single" w:color="auto" w:sz="4" w:space="0"/>
              <w:bottom w:val="single" w:color="auto" w:sz="4" w:space="0"/>
              <w:right w:val="single" w:color="auto" w:sz="4" w:space="0"/>
            </w:tcBorders>
            <w:noWrap/>
            <w:vAlign w:val="center"/>
          </w:tcPr>
          <w:p w14:paraId="763CED50">
            <w:pPr>
              <w:widowControl/>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1913800.00</w:t>
            </w:r>
          </w:p>
        </w:tc>
        <w:tc>
          <w:tcPr>
            <w:tcW w:w="2122" w:type="dxa"/>
            <w:tcBorders>
              <w:top w:val="single" w:color="auto" w:sz="4" w:space="0"/>
              <w:left w:val="single" w:color="auto" w:sz="4" w:space="0"/>
              <w:bottom w:val="single" w:color="auto" w:sz="4" w:space="0"/>
              <w:right w:val="single" w:color="auto" w:sz="4" w:space="0"/>
            </w:tcBorders>
            <w:noWrap/>
            <w:vAlign w:val="center"/>
          </w:tcPr>
          <w:p w14:paraId="066AEDE7">
            <w:pPr>
              <w:widowControl/>
              <w:spacing w:line="360" w:lineRule="auto"/>
              <w:jc w:val="center"/>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1913800.00</w:t>
            </w:r>
          </w:p>
        </w:tc>
      </w:tr>
    </w:tbl>
    <w:p w14:paraId="3A4CC3BC">
      <w:pPr>
        <w:keepNext w:val="0"/>
        <w:keepLines w:val="0"/>
        <w:pageBreakBefore w:val="0"/>
        <w:widowControl w:val="0"/>
        <w:kinsoku/>
        <w:wordWrap/>
        <w:overflowPunct/>
        <w:topLinePunct w:val="0"/>
        <w:bidi w:val="0"/>
        <w:snapToGrid/>
        <w:spacing w:line="360" w:lineRule="auto"/>
        <w:ind w:firstLine="496" w:firstLineChars="200"/>
        <w:textAlignment w:val="auto"/>
        <w:rPr>
          <w:rFonts w:hint="eastAsia" w:ascii="宋体" w:hAnsi="宋体" w:cs="宋体"/>
          <w:color w:val="auto"/>
          <w:kern w:val="0"/>
          <w:sz w:val="24"/>
          <w:szCs w:val="24"/>
          <w:highlight w:val="none"/>
        </w:rPr>
      </w:pPr>
      <w:r>
        <w:rPr>
          <w:rFonts w:hint="eastAsia" w:ascii="宋体" w:hAnsi="宋体" w:cs="宋体"/>
          <w:color w:val="auto"/>
          <w:spacing w:val="4"/>
          <w:sz w:val="24"/>
          <w:szCs w:val="24"/>
          <w:highlight w:val="none"/>
        </w:rPr>
        <w:t>5、采购需求（包括但不限于标的名称、数量、简要技术需求或服务要求等）：</w:t>
      </w:r>
    </w:p>
    <w:p w14:paraId="7117483C">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cs="宋体"/>
          <w:color w:val="auto"/>
          <w:spacing w:val="4"/>
          <w:sz w:val="24"/>
          <w:szCs w:val="24"/>
          <w:highlight w:val="none"/>
          <w:lang w:val="en-US" w:eastAsia="zh-CN"/>
        </w:rPr>
      </w:pPr>
      <w:bookmarkStart w:id="11" w:name="_Toc433812941"/>
      <w:bookmarkStart w:id="12" w:name="_Toc433614775"/>
      <w:bookmarkStart w:id="13" w:name="_Toc433616811"/>
      <w:r>
        <w:rPr>
          <w:rFonts w:hint="eastAsia" w:ascii="宋体" w:hAnsi="宋体" w:cs="宋体"/>
          <w:color w:val="auto"/>
          <w:spacing w:val="4"/>
          <w:sz w:val="24"/>
          <w:szCs w:val="24"/>
          <w:highlight w:val="none"/>
          <w:lang w:val="en-US" w:eastAsia="zh-CN"/>
        </w:rPr>
        <w:t>5.1</w:t>
      </w:r>
      <w:r>
        <w:rPr>
          <w:rFonts w:hint="eastAsia" w:ascii="宋体" w:hAnsi="宋体" w:cs="宋体"/>
          <w:color w:val="auto"/>
          <w:sz w:val="24"/>
          <w:szCs w:val="24"/>
          <w:highlight w:val="none"/>
          <w:lang w:val="en-US" w:eastAsia="zh-CN"/>
        </w:rPr>
        <w:t>采购内容</w:t>
      </w:r>
      <w:bookmarkStart w:id="598" w:name="_GoBack"/>
      <w:bookmarkEnd w:id="598"/>
      <w:r>
        <w:rPr>
          <w:rFonts w:hint="eastAsia" w:ascii="宋体" w:hAnsi="宋体" w:cs="宋体"/>
          <w:color w:val="auto"/>
          <w:sz w:val="24"/>
          <w:szCs w:val="24"/>
          <w:highlight w:val="none"/>
          <w:lang w:val="en-US" w:eastAsia="zh-CN"/>
        </w:rPr>
        <w:t>：</w:t>
      </w:r>
      <w:r>
        <w:rPr>
          <w:rFonts w:hint="eastAsia" w:ascii="Calibri" w:hAnsi="Calibri" w:eastAsia="宋体" w:cs="Times New Roman"/>
          <w:kern w:val="0"/>
          <w:sz w:val="24"/>
          <w:szCs w:val="24"/>
          <w:highlight w:val="none"/>
          <w:lang w:val="en-US" w:eastAsia="zh-CN" w:bidi="ar-SA"/>
        </w:rPr>
        <w:t>本项目数字城管系统软件部分升级，数据普查服务，以及大屏幕显示系统，办公系统，数据服务系统与数据交换系统、文明城市评测监控系统等硬件补充。（详见采购内容及技术要求）</w:t>
      </w:r>
    </w:p>
    <w:p w14:paraId="49099C0B">
      <w:pPr>
        <w:pStyle w:val="30"/>
        <w:keepNext w:val="0"/>
        <w:keepLines w:val="0"/>
        <w:pageBreakBefore w:val="0"/>
        <w:widowControl w:val="0"/>
        <w:kinsoku/>
        <w:wordWrap/>
        <w:overflowPunct/>
        <w:topLinePunct w:val="0"/>
        <w:bidi w:val="0"/>
        <w:snapToGrid/>
        <w:spacing w:line="360" w:lineRule="auto"/>
        <w:ind w:firstLine="496"/>
        <w:textAlignment w:val="auto"/>
        <w:rPr>
          <w:rFonts w:hint="eastAsia" w:ascii="宋体" w:hAnsi="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5.2资金来源：财政资金</w:t>
      </w:r>
    </w:p>
    <w:p w14:paraId="769565D7">
      <w:pPr>
        <w:pStyle w:val="30"/>
        <w:spacing w:line="360" w:lineRule="auto"/>
        <w:ind w:firstLine="496"/>
        <w:rPr>
          <w:rFonts w:hint="eastAsia" w:ascii="宋体" w:hAnsi="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5.3标段划分：本项目共分一个标段</w:t>
      </w:r>
    </w:p>
    <w:p w14:paraId="7875C8B5">
      <w:pPr>
        <w:pStyle w:val="30"/>
        <w:spacing w:line="360" w:lineRule="auto"/>
        <w:ind w:firstLine="496"/>
        <w:rPr>
          <w:rFonts w:ascii="宋体" w:hAnsi="宋体" w:cs="宋体"/>
          <w:color w:val="auto"/>
          <w:sz w:val="24"/>
          <w:szCs w:val="24"/>
          <w:highlight w:val="none"/>
          <w:lang w:val="en-US" w:eastAsia="zh-CN"/>
        </w:rPr>
      </w:pPr>
      <w:r>
        <w:rPr>
          <w:rFonts w:hint="eastAsia" w:ascii="宋体" w:hAnsi="宋体" w:cs="宋体"/>
          <w:color w:val="auto"/>
          <w:spacing w:val="4"/>
          <w:sz w:val="24"/>
          <w:szCs w:val="24"/>
          <w:highlight w:val="none"/>
          <w:lang w:val="en-US" w:eastAsia="zh-CN"/>
        </w:rPr>
        <w:t>5.4服务期限：一年</w:t>
      </w:r>
    </w:p>
    <w:p w14:paraId="76B2A262">
      <w:pPr>
        <w:pStyle w:val="30"/>
        <w:spacing w:line="360" w:lineRule="auto"/>
        <w:ind w:firstLine="496"/>
        <w:rPr>
          <w:rFonts w:hint="eastAsia" w:ascii="宋体" w:hAnsi="宋体" w:cs="宋体"/>
          <w:color w:val="auto"/>
          <w:sz w:val="24"/>
          <w:szCs w:val="24"/>
          <w:highlight w:val="none"/>
          <w:lang w:eastAsia="zh-CN"/>
        </w:rPr>
      </w:pPr>
      <w:r>
        <w:rPr>
          <w:rFonts w:hint="eastAsia" w:ascii="宋体" w:hAnsi="宋体" w:cs="宋体"/>
          <w:color w:val="auto"/>
          <w:spacing w:val="4"/>
          <w:sz w:val="24"/>
          <w:szCs w:val="24"/>
          <w:highlight w:val="none"/>
          <w:lang w:val="en-US" w:eastAsia="zh-CN"/>
        </w:rPr>
        <w:t>5.5服务标准：</w:t>
      </w:r>
      <w:r>
        <w:rPr>
          <w:rFonts w:hint="eastAsia"/>
          <w:sz w:val="24"/>
          <w:szCs w:val="24"/>
          <w:highlight w:val="none"/>
        </w:rPr>
        <w:t>符合国家相关行业标准及采购人要求</w:t>
      </w:r>
    </w:p>
    <w:p w14:paraId="47D0DA28">
      <w:pPr>
        <w:pStyle w:val="30"/>
        <w:numPr>
          <w:ilvl w:val="0"/>
          <w:numId w:val="2"/>
        </w:numPr>
        <w:spacing w:line="360"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合同履行期限：</w:t>
      </w:r>
      <w:r>
        <w:rPr>
          <w:rFonts w:hint="eastAsia"/>
          <w:sz w:val="24"/>
          <w:szCs w:val="24"/>
          <w:highlight w:val="none"/>
        </w:rPr>
        <w:t>同服务期限。</w:t>
      </w:r>
    </w:p>
    <w:p w14:paraId="01F92904">
      <w:pPr>
        <w:pStyle w:val="30"/>
        <w:numPr>
          <w:ilvl w:val="0"/>
          <w:numId w:val="2"/>
        </w:numPr>
        <w:spacing w:line="360"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本项目是否接受联合体投标：否</w:t>
      </w:r>
    </w:p>
    <w:p w14:paraId="6BA0113D">
      <w:pPr>
        <w:pStyle w:val="30"/>
        <w:numPr>
          <w:ilvl w:val="0"/>
          <w:numId w:val="2"/>
        </w:numPr>
        <w:spacing w:line="360"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是否接受进口产品：否</w:t>
      </w:r>
    </w:p>
    <w:p w14:paraId="143A6821">
      <w:pPr>
        <w:pStyle w:val="30"/>
        <w:numPr>
          <w:ilvl w:val="0"/>
          <w:numId w:val="2"/>
        </w:num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是否专门面向中小企业：否</w:t>
      </w:r>
    </w:p>
    <w:bookmarkEnd w:id="11"/>
    <w:bookmarkEnd w:id="12"/>
    <w:bookmarkEnd w:id="13"/>
    <w:p w14:paraId="7132A6D2">
      <w:pPr>
        <w:spacing w:line="360" w:lineRule="auto"/>
        <w:rPr>
          <w:rFonts w:hint="eastAsia" w:ascii="宋体" w:hAnsi="宋体" w:cs="宋体"/>
          <w:b/>
          <w:bCs/>
          <w:color w:val="auto"/>
          <w:spacing w:val="4"/>
          <w:sz w:val="24"/>
          <w:szCs w:val="24"/>
          <w:highlight w:val="none"/>
        </w:rPr>
      </w:pPr>
      <w:bookmarkStart w:id="14" w:name="_Toc9733_WPSOffice_Level2"/>
      <w:bookmarkStart w:id="15" w:name="_Toc9669_WPSOffice_Level2"/>
      <w:r>
        <w:rPr>
          <w:rFonts w:hint="eastAsia" w:ascii="宋体" w:hAnsi="宋体" w:cs="宋体"/>
          <w:b/>
          <w:bCs/>
          <w:color w:val="auto"/>
          <w:spacing w:val="4"/>
          <w:sz w:val="24"/>
          <w:szCs w:val="24"/>
          <w:highlight w:val="none"/>
        </w:rPr>
        <w:t>二、投标人的资格要求</w:t>
      </w:r>
      <w:bookmarkEnd w:id="14"/>
      <w:bookmarkEnd w:id="15"/>
    </w:p>
    <w:p w14:paraId="64811D9C">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bookmarkStart w:id="16" w:name="_Toc2540_WPSOffice_Level2"/>
      <w:bookmarkStart w:id="17" w:name="_Toc7038_WPSOffice_Level2"/>
      <w:bookmarkStart w:id="18" w:name="_Toc433616812"/>
      <w:bookmarkStart w:id="19" w:name="_Toc433812942"/>
      <w:bookmarkStart w:id="20" w:name="_Toc433614776"/>
      <w:r>
        <w:rPr>
          <w:rFonts w:hint="eastAsia" w:ascii="宋体" w:hAnsi="宋体" w:eastAsia="宋体" w:cs="宋体"/>
          <w:color w:val="auto"/>
          <w:sz w:val="24"/>
          <w:szCs w:val="24"/>
          <w:highlight w:val="none"/>
          <w:lang w:val="en-US" w:eastAsia="zh-CN"/>
        </w:rPr>
        <w:t>1、满足《中华人民共和国政府采购法》第二十二条规定；</w:t>
      </w:r>
    </w:p>
    <w:p w14:paraId="4A37AF5C">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2、落实政府采购政策满足的资格要求：/ </w:t>
      </w:r>
    </w:p>
    <w:p w14:paraId="254580C3">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3E73AD42">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3.1、具有独立承担民事责任的能力(提供企业法人或者其他组织的营业执照等证明文件或自然人的身份证明;注:根据《&lt;政府采购法实施条例)释义》，银行、保险、石油石化、电力、电信等有行业特殊情况的 ，取得营业执照的分支机构可以分公司名义参与投标 ，招标文件中涉及的“法定代表人”在 前述特殊行业中即对应为“分支机构负责人”。投标人为子公司、分公司等特殊情形时，对于集团公司、母公司、子公司、分公司可共享共用的资源，招标人予以承认，视为投标人所有。)</w:t>
      </w:r>
    </w:p>
    <w:p w14:paraId="0CF13331">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3.2、具有良好的商业信誉和健全的财务会计制度。（提供承诺函,格式自拟)</w:t>
      </w:r>
    </w:p>
    <w:p w14:paraId="07D3D706">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3.3、具有履行合同所必需的设备和专业技术能力。（提供承诺函,格式自拟)</w:t>
      </w:r>
    </w:p>
    <w:p w14:paraId="468B4C1F">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3.4、有依法缴纳税收和社会保障资金的良好记录。（提供承诺函,格式自拟)</w:t>
      </w:r>
    </w:p>
    <w:p w14:paraId="3E1658A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3.5、参加政府采购活动近三年内，在经营活动中没有重大违法记录。（提供承诺函，格式自拟，成立不足三年的新企业从成立时间开始)</w:t>
      </w:r>
    </w:p>
    <w:p w14:paraId="36D0C02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3.6、投标人需提供中国执行信息公开网 “失信被执行人”、信用中国网“重大税收违法失信主体”、中国政府采购网“政府采购严重违法失信行为名单”查询页面加盖单位公章；若有不良记录报名无效，执行财库[2016]125号文。</w:t>
      </w:r>
    </w:p>
    <w:p w14:paraId="62DEC00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3.7单位负责人为同一人或者存在直接控股、管理关系的不同供应商，不得参加同一合同项下的政府采购活动（需提供承诺函，格式自拟）。</w:t>
      </w:r>
    </w:p>
    <w:p w14:paraId="0CC5FFEF">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注：本项目招标不接受联合体投标，采用资格后审。</w:t>
      </w:r>
    </w:p>
    <w:p w14:paraId="40E89680">
      <w:pPr>
        <w:spacing w:line="360" w:lineRule="auto"/>
        <w:rPr>
          <w:rFonts w:hint="eastAsia" w:ascii="宋体" w:hAnsi="宋体" w:cs="宋体"/>
          <w:b/>
          <w:bCs/>
          <w:color w:val="auto"/>
          <w:sz w:val="22"/>
          <w:szCs w:val="22"/>
          <w:highlight w:val="none"/>
        </w:rPr>
      </w:pPr>
      <w:r>
        <w:rPr>
          <w:rFonts w:hint="eastAsia" w:ascii="宋体" w:hAnsi="宋体" w:cs="宋体"/>
          <w:b/>
          <w:bCs/>
          <w:color w:val="auto"/>
          <w:spacing w:val="4"/>
          <w:sz w:val="24"/>
          <w:szCs w:val="24"/>
          <w:highlight w:val="none"/>
        </w:rPr>
        <w:t>三、</w:t>
      </w:r>
      <w:r>
        <w:rPr>
          <w:rFonts w:hint="eastAsia" w:ascii="宋体" w:hAnsi="宋体" w:cs="宋体"/>
          <w:b/>
          <w:bCs/>
          <w:color w:val="auto"/>
          <w:sz w:val="22"/>
          <w:szCs w:val="22"/>
          <w:highlight w:val="none"/>
        </w:rPr>
        <w:t>招标文件</w:t>
      </w:r>
      <w:bookmarkEnd w:id="16"/>
      <w:bookmarkEnd w:id="17"/>
      <w:r>
        <w:rPr>
          <w:rFonts w:hint="eastAsia" w:ascii="宋体" w:hAnsi="宋体" w:cs="宋体"/>
          <w:b/>
          <w:bCs/>
          <w:color w:val="auto"/>
          <w:sz w:val="22"/>
          <w:szCs w:val="22"/>
          <w:highlight w:val="none"/>
        </w:rPr>
        <w:t>的获取</w:t>
      </w:r>
    </w:p>
    <w:p w14:paraId="2AB52D97">
      <w:pPr>
        <w:spacing w:line="360" w:lineRule="auto"/>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招标文件下载时间：</w:t>
      </w:r>
      <w:r>
        <w:rPr>
          <w:rFonts w:hint="eastAsia" w:ascii="宋体" w:hAnsi="宋体" w:cs="宋体"/>
          <w:color w:val="auto"/>
          <w:sz w:val="24"/>
          <w:szCs w:val="24"/>
          <w:highlight w:val="none"/>
          <w:lang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22</w:t>
      </w:r>
      <w:r>
        <w:rPr>
          <w:rFonts w:hint="eastAsia" w:ascii="宋体" w:hAnsi="宋体" w:cs="宋体"/>
          <w:color w:val="auto"/>
          <w:sz w:val="24"/>
          <w:szCs w:val="24"/>
          <w:highlight w:val="none"/>
        </w:rPr>
        <w:t>日0时0分～</w:t>
      </w:r>
      <w:r>
        <w:rPr>
          <w:rFonts w:hint="eastAsia" w:ascii="宋体" w:hAnsi="宋体" w:cs="宋体"/>
          <w:color w:val="auto"/>
          <w:sz w:val="24"/>
          <w:szCs w:val="24"/>
          <w:highlight w:val="none"/>
          <w:lang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13</w:t>
      </w:r>
      <w:r>
        <w:rPr>
          <w:rFonts w:hint="eastAsia" w:ascii="宋体" w:hAnsi="宋体" w:cs="宋体"/>
          <w:color w:val="auto"/>
          <w:sz w:val="24"/>
          <w:szCs w:val="24"/>
          <w:highlight w:val="none"/>
        </w:rPr>
        <w:t>日23时59分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北京时间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05E01826">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2、地点：平顶山市公共资源交易中心网站，下载文件</w:t>
      </w:r>
    </w:p>
    <w:p w14:paraId="274B1831">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3、方式：</w:t>
      </w:r>
      <w:r>
        <w:rPr>
          <w:rFonts w:hint="eastAsia" w:ascii="宋体" w:hAnsi="宋体" w:cs="宋体"/>
          <w:color w:val="auto"/>
          <w:sz w:val="24"/>
          <w:szCs w:val="24"/>
          <w:highlight w:val="none"/>
        </w:rPr>
        <w:t>潜在投标人需凭CA数字证书通过平顶山市公共资源交易中心网站（网址：</w:t>
      </w:r>
      <w:r>
        <w:rPr>
          <w:rFonts w:hint="eastAsia" w:ascii="宋体" w:hAnsi="宋体" w:cs="宋体"/>
          <w:color w:val="auto"/>
          <w:sz w:val="24"/>
          <w:szCs w:val="24"/>
          <w:highlight w:val="none"/>
          <w:lang w:eastAsia="zh-CN"/>
        </w:rPr>
        <w:t>http://ggzy.pds.gov.cn/</w:t>
      </w:r>
      <w:r>
        <w:rPr>
          <w:rFonts w:hint="eastAsia" w:ascii="宋体" w:hAnsi="宋体" w:cs="宋体"/>
          <w:color w:val="auto"/>
          <w:sz w:val="24"/>
          <w:szCs w:val="24"/>
          <w:highlight w:val="none"/>
        </w:rPr>
        <w:t>）“登陆业务系统”入口进入电子交易系统进行及下载招标文件，具体操作请查看以下链接：</w:t>
      </w:r>
      <w:r>
        <w:rPr>
          <w:rFonts w:hint="eastAsia" w:ascii="宋体" w:hAnsi="宋体" w:cs="宋体"/>
          <w:color w:val="auto"/>
          <w:sz w:val="24"/>
          <w:szCs w:val="24"/>
          <w:highlight w:val="none"/>
          <w:lang w:eastAsia="zh-CN"/>
        </w:rPr>
        <w:t>http://ggzy.pds.gov.cn/</w:t>
      </w:r>
      <w:r>
        <w:rPr>
          <w:rFonts w:hint="eastAsia" w:ascii="宋体" w:hAnsi="宋体" w:cs="宋体"/>
          <w:color w:val="auto"/>
          <w:sz w:val="24"/>
          <w:szCs w:val="24"/>
          <w:highlight w:val="none"/>
        </w:rPr>
        <w:t>fwzn/11020.jhtml，办理CA证书：</w:t>
      </w:r>
      <w:r>
        <w:rPr>
          <w:rFonts w:hint="eastAsia" w:ascii="宋体" w:hAnsi="宋体" w:cs="宋体"/>
          <w:color w:val="auto"/>
          <w:sz w:val="24"/>
          <w:szCs w:val="24"/>
          <w:highlight w:val="none"/>
          <w:lang w:eastAsia="zh-CN"/>
        </w:rPr>
        <w:t>http://ggzy.pds.gov.cn/</w:t>
      </w:r>
      <w:r>
        <w:rPr>
          <w:rFonts w:hint="eastAsia" w:ascii="宋体" w:hAnsi="宋体" w:cs="宋体"/>
          <w:color w:val="auto"/>
          <w:sz w:val="24"/>
          <w:szCs w:val="24"/>
          <w:highlight w:val="none"/>
        </w:rPr>
        <w:t>tzgg/10814.jhtml。</w:t>
      </w:r>
    </w:p>
    <w:p w14:paraId="205C7244">
      <w:pPr>
        <w:widowControl/>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4、售价：0元。</w:t>
      </w:r>
    </w:p>
    <w:bookmarkEnd w:id="18"/>
    <w:bookmarkEnd w:id="19"/>
    <w:bookmarkEnd w:id="20"/>
    <w:p w14:paraId="75C85CD4">
      <w:pPr>
        <w:spacing w:line="360" w:lineRule="auto"/>
        <w:rPr>
          <w:rFonts w:hint="eastAsia" w:ascii="宋体" w:hAnsi="宋体" w:cs="宋体"/>
          <w:b/>
          <w:bCs/>
          <w:color w:val="auto"/>
          <w:sz w:val="24"/>
          <w:szCs w:val="24"/>
          <w:highlight w:val="none"/>
        </w:rPr>
      </w:pPr>
      <w:bookmarkStart w:id="21" w:name="_Toc433812943"/>
      <w:bookmarkStart w:id="22" w:name="_Toc9366_WPSOffice_Level2"/>
      <w:bookmarkStart w:id="23" w:name="_Toc9783_WPSOffice_Level2"/>
      <w:r>
        <w:rPr>
          <w:rFonts w:hint="eastAsia" w:ascii="宋体" w:hAnsi="宋体" w:cs="宋体"/>
          <w:b/>
          <w:bCs/>
          <w:color w:val="auto"/>
          <w:spacing w:val="4"/>
          <w:sz w:val="24"/>
          <w:szCs w:val="24"/>
          <w:highlight w:val="none"/>
        </w:rPr>
        <w:t>四、</w:t>
      </w:r>
      <w:bookmarkEnd w:id="21"/>
      <w:r>
        <w:rPr>
          <w:rFonts w:hint="eastAsia" w:ascii="宋体" w:hAnsi="宋体" w:cs="宋体"/>
          <w:b/>
          <w:bCs/>
          <w:color w:val="auto"/>
          <w:sz w:val="24"/>
          <w:szCs w:val="24"/>
          <w:highlight w:val="none"/>
        </w:rPr>
        <w:t>投标</w:t>
      </w:r>
      <w:bookmarkEnd w:id="22"/>
      <w:bookmarkEnd w:id="23"/>
      <w:r>
        <w:rPr>
          <w:rFonts w:hint="eastAsia" w:ascii="宋体" w:hAnsi="宋体" w:cs="宋体"/>
          <w:b/>
          <w:bCs/>
          <w:color w:val="auto"/>
          <w:sz w:val="24"/>
          <w:szCs w:val="24"/>
          <w:highlight w:val="none"/>
        </w:rPr>
        <w:t>截至时间及地点</w:t>
      </w:r>
    </w:p>
    <w:p w14:paraId="506EC821">
      <w:pPr>
        <w:pStyle w:val="20"/>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2 月14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分（北京时间）</w:t>
      </w:r>
    </w:p>
    <w:p w14:paraId="7EB16097">
      <w:pPr>
        <w:pStyle w:val="21"/>
        <w:spacing w:line="360" w:lineRule="auto"/>
        <w:ind w:left="0" w:leftChars="0" w:firstLine="480"/>
        <w:rPr>
          <w:rFonts w:hint="eastAsia" w:ascii="宋体" w:hAnsi="宋体" w:cs="宋体"/>
          <w:color w:val="auto"/>
          <w:sz w:val="24"/>
          <w:szCs w:val="28"/>
          <w:highlight w:val="none"/>
        </w:rPr>
      </w:pPr>
      <w:r>
        <w:rPr>
          <w:rFonts w:hint="eastAsia" w:ascii="宋体" w:hAnsi="宋体" w:cs="宋体"/>
          <w:color w:val="auto"/>
          <w:sz w:val="24"/>
          <w:szCs w:val="24"/>
          <w:highlight w:val="none"/>
        </w:rPr>
        <w:t>2、地点：</w:t>
      </w:r>
      <w:r>
        <w:rPr>
          <w:rFonts w:hint="eastAsia" w:ascii="宋体" w:hAnsi="宋体" w:cs="宋体"/>
          <w:bCs/>
          <w:color w:val="auto"/>
          <w:sz w:val="24"/>
          <w:szCs w:val="28"/>
          <w:highlight w:val="none"/>
        </w:rPr>
        <w:t>平顶山市公共资源交易中心</w:t>
      </w:r>
      <w:r>
        <w:rPr>
          <w:rFonts w:hint="eastAsia" w:ascii="宋体" w:hAnsi="宋体" w:cs="宋体"/>
          <w:bCs/>
          <w:color w:val="auto"/>
          <w:sz w:val="24"/>
          <w:szCs w:val="28"/>
          <w:highlight w:val="none"/>
          <w:lang w:eastAsia="zh-CN"/>
        </w:rPr>
        <w:t>电子化交易</w:t>
      </w:r>
      <w:r>
        <w:rPr>
          <w:rFonts w:hint="eastAsia" w:ascii="宋体" w:hAnsi="宋体" w:cs="宋体"/>
          <w:bCs/>
          <w:color w:val="auto"/>
          <w:sz w:val="24"/>
          <w:szCs w:val="28"/>
          <w:highlight w:val="none"/>
        </w:rPr>
        <w:t>系统。</w:t>
      </w:r>
    </w:p>
    <w:p w14:paraId="75B19608">
      <w:pPr>
        <w:spacing w:line="360" w:lineRule="auto"/>
        <w:textAlignment w:val="baseline"/>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五、开标时间及地点</w:t>
      </w:r>
    </w:p>
    <w:p w14:paraId="0A4B8493">
      <w:pPr>
        <w:spacing w:line="360" w:lineRule="auto"/>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1、时间：</w:t>
      </w:r>
      <w:r>
        <w:rPr>
          <w:rFonts w:hint="eastAsia" w:ascii="宋体" w:hAnsi="宋体" w:cs="宋体"/>
          <w:color w:val="auto"/>
          <w:sz w:val="24"/>
          <w:szCs w:val="24"/>
          <w:highlight w:val="none"/>
          <w:lang w:eastAsia="zh-CN"/>
        </w:rPr>
        <w:t>2025</w:t>
      </w:r>
      <w:r>
        <w:rPr>
          <w:rFonts w:hint="eastAsia" w:ascii="宋体" w:hAnsi="宋体" w:cs="宋体"/>
          <w:color w:val="auto"/>
          <w:sz w:val="24"/>
          <w:szCs w:val="24"/>
          <w:highlight w:val="none"/>
          <w:lang w:val="zh-CN"/>
        </w:rPr>
        <w:t>年</w:t>
      </w:r>
      <w:r>
        <w:rPr>
          <w:rFonts w:hint="eastAsia" w:ascii="宋体" w:hAnsi="宋体" w:cs="宋体"/>
          <w:color w:val="auto"/>
          <w:sz w:val="24"/>
          <w:szCs w:val="24"/>
          <w:highlight w:val="none"/>
          <w:lang w:val="en-US" w:eastAsia="zh-CN"/>
        </w:rPr>
        <w:t xml:space="preserve"> 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14 </w:t>
      </w:r>
      <w:r>
        <w:rPr>
          <w:rFonts w:hint="eastAsia" w:ascii="宋体" w:hAnsi="宋体" w:cs="宋体"/>
          <w:color w:val="auto"/>
          <w:sz w:val="24"/>
          <w:szCs w:val="24"/>
          <w:highlight w:val="none"/>
          <w:lang w:val="zh-CN"/>
        </w:rPr>
        <w:t>日</w:t>
      </w:r>
      <w:r>
        <w:rPr>
          <w:rFonts w:hint="eastAsia" w:ascii="宋体" w:hAnsi="宋体" w:cs="宋体"/>
          <w:color w:val="auto"/>
          <w:sz w:val="24"/>
          <w:szCs w:val="24"/>
          <w:highlight w:val="none"/>
          <w:lang w:val="en-US" w:eastAsia="zh-CN"/>
        </w:rPr>
        <w:t xml:space="preserve">9 </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 xml:space="preserve">00 </w:t>
      </w:r>
      <w:r>
        <w:rPr>
          <w:rFonts w:hint="eastAsia" w:ascii="宋体" w:hAnsi="宋体" w:cs="宋体"/>
          <w:color w:val="auto"/>
          <w:sz w:val="24"/>
          <w:szCs w:val="24"/>
          <w:highlight w:val="none"/>
        </w:rPr>
        <w:t>分（北京时间）</w:t>
      </w:r>
    </w:p>
    <w:p w14:paraId="3614EC10">
      <w:pPr>
        <w:spacing w:line="360" w:lineRule="auto"/>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2、地点：</w:t>
      </w:r>
      <w:r>
        <w:rPr>
          <w:rFonts w:hint="eastAsia" w:ascii="宋体" w:hAnsi="宋体" w:cs="宋体"/>
          <w:bCs/>
          <w:color w:val="auto"/>
          <w:sz w:val="24"/>
          <w:szCs w:val="28"/>
          <w:highlight w:val="none"/>
        </w:rPr>
        <w:t>平顶山市公共资源交易中心电子化交易系统</w:t>
      </w:r>
      <w:r>
        <w:rPr>
          <w:rFonts w:hint="eastAsia" w:ascii="宋体" w:hAnsi="宋体" w:cs="宋体"/>
          <w:bCs/>
          <w:color w:val="auto"/>
          <w:sz w:val="24"/>
          <w:szCs w:val="24"/>
          <w:highlight w:val="none"/>
        </w:rPr>
        <w:t>。</w:t>
      </w:r>
    </w:p>
    <w:p w14:paraId="00B16397">
      <w:pPr>
        <w:spacing w:line="360" w:lineRule="auto"/>
        <w:rPr>
          <w:rFonts w:hint="eastAsia" w:ascii="宋体" w:hAnsi="宋体" w:cs="宋体"/>
          <w:b/>
          <w:bCs/>
          <w:color w:val="auto"/>
          <w:sz w:val="24"/>
          <w:szCs w:val="24"/>
          <w:highlight w:val="none"/>
        </w:rPr>
      </w:pPr>
      <w:bookmarkStart w:id="24" w:name="_Toc29748_WPSOffice_Level2"/>
      <w:bookmarkStart w:id="25" w:name="_Toc1733_WPSOffice_Level2"/>
      <w:r>
        <w:rPr>
          <w:rFonts w:hint="eastAsia" w:ascii="宋体" w:hAnsi="宋体" w:cs="宋体"/>
          <w:b/>
          <w:bCs/>
          <w:color w:val="auto"/>
          <w:sz w:val="24"/>
          <w:szCs w:val="24"/>
          <w:highlight w:val="none"/>
        </w:rPr>
        <w:t>六、发布公告的媒介</w:t>
      </w:r>
      <w:bookmarkEnd w:id="24"/>
      <w:bookmarkEnd w:id="25"/>
      <w:r>
        <w:rPr>
          <w:rFonts w:hint="eastAsia" w:ascii="宋体" w:hAnsi="宋体" w:cs="宋体"/>
          <w:b/>
          <w:bCs/>
          <w:color w:val="auto"/>
          <w:sz w:val="24"/>
          <w:szCs w:val="32"/>
          <w:highlight w:val="none"/>
        </w:rPr>
        <w:t>及招标公告期限</w:t>
      </w:r>
    </w:p>
    <w:p w14:paraId="2337BD9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本招标公告在《河南省政府采购网》、《平顶山市政府采购网》、</w:t>
      </w:r>
      <w:r>
        <w:rPr>
          <w:rFonts w:hint="eastAsia" w:ascii="宋体" w:hAnsi="宋体" w:cs="宋体"/>
          <w:color w:val="auto"/>
          <w:sz w:val="24"/>
          <w:szCs w:val="24"/>
          <w:highlight w:val="none"/>
          <w:lang w:val="zh-CN"/>
        </w:rPr>
        <w:t>《平顶山市鲁山县政府采购网》</w:t>
      </w:r>
      <w:r>
        <w:rPr>
          <w:rFonts w:hint="eastAsia" w:ascii="宋体" w:hAnsi="宋体" w:cs="宋体"/>
          <w:color w:val="auto"/>
          <w:sz w:val="24"/>
          <w:szCs w:val="24"/>
          <w:highlight w:val="none"/>
        </w:rPr>
        <w:t>、《全国公共资源交易平台（河南省·平顶山市）》上同时发布。招标公告期限为五个工作日。</w:t>
      </w:r>
    </w:p>
    <w:p w14:paraId="4F5890A9">
      <w:pPr>
        <w:pStyle w:val="20"/>
        <w:numPr>
          <w:ilvl w:val="0"/>
          <w:numId w:val="3"/>
        </w:numPr>
        <w:ind w:firstLine="0" w:firstLineChars="0"/>
        <w:rPr>
          <w:rFonts w:hint="eastAsia" w:ascii="宋体" w:hAnsi="宋体" w:cs="宋体"/>
          <w:color w:val="auto"/>
          <w:sz w:val="24"/>
          <w:szCs w:val="24"/>
          <w:highlight w:val="none"/>
        </w:rPr>
      </w:pPr>
      <w:r>
        <w:rPr>
          <w:rFonts w:hint="eastAsia" w:ascii="宋体" w:hAnsi="宋体" w:cs="宋体"/>
          <w:b/>
          <w:bCs/>
          <w:color w:val="auto"/>
          <w:sz w:val="24"/>
          <w:szCs w:val="24"/>
          <w:highlight w:val="none"/>
        </w:rPr>
        <w:t>其他补充事宜</w:t>
      </w:r>
    </w:p>
    <w:p w14:paraId="1D96F2DD">
      <w:pPr>
        <w:spacing w:line="360" w:lineRule="auto"/>
        <w:ind w:firstLine="480" w:firstLineChars="200"/>
        <w:rPr>
          <w:rFonts w:hint="eastAsia" w:ascii="宋体" w:hAnsi="宋体" w:cs="宋体"/>
          <w:color w:val="auto"/>
          <w:sz w:val="24"/>
          <w:szCs w:val="24"/>
          <w:highlight w:val="none"/>
        </w:rPr>
      </w:pPr>
      <w:bookmarkStart w:id="26" w:name="_Toc3671_WPSOffice_Level2"/>
      <w:bookmarkStart w:id="27" w:name="_Toc21949_WPSOffice_Level2"/>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供应商采用网上远程异地解密，用CA证书登录平顶山市公共资源交易中心业务系统，进入本项目开标大厅点击解密来完成投标文件的解密工作。</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2、 全面实行在线“不见面”开标，供应商远程在线解密投标文件，不再到开标现场，供应商开标前应仔细阅读《“不见面”开标注意事项及操作流程》。</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3、逾期上传的竞争性磋商响应文件，采购人不予受理。</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4、各投标人如有异议可通过平顶山市公共资源交易平台向招标人（代理机构）、行政监督部门在线提出质疑（异议）、投诉。</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5、监督单位：鲁山县财政局政府采购服务中心</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统一社会信用代码：11410423005487188A</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联系方式：0375-5057526</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6、该公告已同步至“平顶山市公共资源交易中心微信公众号”，可通过公众号中的服务栏目进行查阅。</w:t>
      </w:r>
    </w:p>
    <w:p w14:paraId="7365A4B7">
      <w:pPr>
        <w:numPr>
          <w:ilvl w:val="0"/>
          <w:numId w:val="0"/>
        </w:numPr>
        <w:spacing w:line="360" w:lineRule="auto"/>
        <w:rPr>
          <w:rFonts w:hint="eastAsia" w:ascii="宋体" w:hAnsi="宋体" w:cs="宋体"/>
          <w:b/>
          <w:bCs/>
          <w:color w:val="auto"/>
          <w:spacing w:val="4"/>
          <w:sz w:val="24"/>
          <w:szCs w:val="24"/>
          <w:highlight w:val="none"/>
        </w:rPr>
      </w:pPr>
      <w:r>
        <w:rPr>
          <w:rFonts w:hint="eastAsia" w:ascii="宋体" w:hAnsi="宋体" w:cs="宋体"/>
          <w:b/>
          <w:bCs/>
          <w:color w:val="auto"/>
          <w:spacing w:val="4"/>
          <w:sz w:val="24"/>
          <w:szCs w:val="24"/>
          <w:highlight w:val="none"/>
        </w:rPr>
        <w:t>八、本次招标联系事项：</w:t>
      </w:r>
      <w:bookmarkEnd w:id="26"/>
      <w:bookmarkEnd w:id="27"/>
    </w:p>
    <w:p w14:paraId="7D93F22D">
      <w:pPr>
        <w:pStyle w:val="31"/>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1.采购人信息</w:t>
      </w:r>
    </w:p>
    <w:p w14:paraId="445180D9">
      <w:pPr>
        <w:pStyle w:val="31"/>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eastAsia="zh-CN"/>
        </w:rPr>
        <w:t>鲁山县城市管理局</w:t>
      </w:r>
    </w:p>
    <w:p w14:paraId="5E48EA8E">
      <w:pPr>
        <w:pStyle w:val="31"/>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shd w:val="clear" w:color="auto" w:fill="FFFFFF"/>
          <w:lang w:eastAsia="zh-CN"/>
        </w:rPr>
        <w:t>鲁山县鲁平大道西段司法大楼10楼</w:t>
      </w:r>
    </w:p>
    <w:p w14:paraId="067E21B9">
      <w:pPr>
        <w:pStyle w:val="31"/>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上官先生</w:t>
      </w:r>
    </w:p>
    <w:p w14:paraId="41DB0AB3">
      <w:pPr>
        <w:pStyle w:val="31"/>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联系电话：</w:t>
      </w:r>
      <w:r>
        <w:rPr>
          <w:rFonts w:hint="eastAsia"/>
          <w:sz w:val="22"/>
          <w:szCs w:val="22"/>
          <w:highlight w:val="none"/>
          <w:lang w:eastAsia="zh-CN"/>
        </w:rPr>
        <w:t>15093783306</w:t>
      </w:r>
    </w:p>
    <w:p w14:paraId="37608A4E">
      <w:pPr>
        <w:pStyle w:val="31"/>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2.采购代理机构信息</w:t>
      </w:r>
    </w:p>
    <w:p w14:paraId="2F3F8BC9">
      <w:pPr>
        <w:pStyle w:val="31"/>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代理机构：</w:t>
      </w:r>
      <w:r>
        <w:rPr>
          <w:rFonts w:hint="eastAsia" w:ascii="宋体" w:hAnsi="宋体" w:cs="宋体"/>
          <w:color w:val="auto"/>
          <w:sz w:val="24"/>
          <w:szCs w:val="24"/>
          <w:highlight w:val="none"/>
          <w:lang w:eastAsia="zh-CN"/>
        </w:rPr>
        <w:t>河南省亿达工程管理咨询有限公司</w:t>
      </w:r>
      <w:r>
        <w:rPr>
          <w:rFonts w:hint="eastAsia" w:ascii="宋体" w:hAnsi="宋体" w:cs="宋体"/>
          <w:color w:val="auto"/>
          <w:sz w:val="24"/>
          <w:szCs w:val="24"/>
          <w:highlight w:val="none"/>
        </w:rPr>
        <w:t xml:space="preserve"> </w:t>
      </w:r>
    </w:p>
    <w:p w14:paraId="7A393980">
      <w:pPr>
        <w:pStyle w:val="31"/>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lang w:val="en-US" w:eastAsia="zh-CN"/>
        </w:rPr>
        <w:t>马先生</w:t>
      </w:r>
    </w:p>
    <w:p w14:paraId="08D15458">
      <w:pPr>
        <w:keepNext w:val="0"/>
        <w:keepLines w:val="0"/>
        <w:pageBreakBefore w:val="0"/>
        <w:widowControl/>
        <w:kinsoku w:val="0"/>
        <w:wordWrap/>
        <w:overflowPunct/>
        <w:topLinePunct w:val="0"/>
        <w:autoSpaceDE w:val="0"/>
        <w:autoSpaceDN w:val="0"/>
        <w:bidi w:val="0"/>
        <w:adjustRightInd w:val="0"/>
        <w:snapToGrid w:val="0"/>
        <w:spacing w:before="78" w:line="360" w:lineRule="auto"/>
        <w:ind w:left="7" w:firstLine="475"/>
        <w:textAlignment w:val="baseline"/>
        <w:rPr>
          <w:rFonts w:hint="eastAsia" w:ascii="宋体" w:hAnsi="宋体" w:eastAsia="宋体" w:cs="宋体"/>
          <w:color w:val="auto"/>
          <w:spacing w:val="-1"/>
          <w:sz w:val="24"/>
          <w:szCs w:val="24"/>
          <w:highlight w:val="none"/>
        </w:rPr>
      </w:pPr>
      <w:r>
        <w:rPr>
          <w:rFonts w:hint="eastAsia" w:ascii="宋体" w:hAnsi="宋体" w:cs="宋体"/>
          <w:color w:val="auto"/>
          <w:sz w:val="24"/>
          <w:szCs w:val="24"/>
          <w:highlight w:val="none"/>
        </w:rPr>
        <w:t>地址：</w:t>
      </w:r>
      <w:r>
        <w:rPr>
          <w:rFonts w:hint="eastAsia" w:ascii="宋体" w:hAnsi="宋体" w:eastAsia="宋体" w:cs="宋体"/>
          <w:color w:val="auto"/>
          <w:sz w:val="24"/>
          <w:szCs w:val="24"/>
          <w:highlight w:val="none"/>
          <w:lang w:val="en-US" w:eastAsia="zh-CN"/>
        </w:rPr>
        <w:t>河南自贸试验区郑州片区（金水）柳东路9-3P号240025</w:t>
      </w:r>
    </w:p>
    <w:p w14:paraId="29319F8C">
      <w:pPr>
        <w:pStyle w:val="31"/>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电话：</w:t>
      </w:r>
      <w:r>
        <w:rPr>
          <w:rFonts w:hint="eastAsia" w:ascii="宋体" w:hAnsi="宋体" w:eastAsia="宋体" w:cs="宋体"/>
          <w:b w:val="0"/>
          <w:bCs w:val="0"/>
          <w:i w:val="0"/>
          <w:caps w:val="0"/>
          <w:color w:val="auto"/>
          <w:spacing w:val="0"/>
          <w:kern w:val="2"/>
          <w:sz w:val="21"/>
          <w:szCs w:val="21"/>
          <w:highlight w:val="none"/>
          <w:u w:val="none"/>
          <w:shd w:val="clear" w:color="auto" w:fill="FFFFFF"/>
          <w:lang w:val="en-US" w:eastAsia="zh-CN" w:bidi="ar-SA"/>
        </w:rPr>
        <w:t>13949037203</w:t>
      </w:r>
    </w:p>
    <w:p w14:paraId="4DCDF0FF">
      <w:pPr>
        <w:pStyle w:val="31"/>
        <w:numPr>
          <w:ilvl w:val="0"/>
          <w:numId w:val="4"/>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项目联系方式</w:t>
      </w:r>
    </w:p>
    <w:p w14:paraId="12156276">
      <w:pPr>
        <w:pStyle w:val="31"/>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项目联系人：</w:t>
      </w:r>
      <w:r>
        <w:rPr>
          <w:rFonts w:hint="eastAsia" w:ascii="宋体" w:hAnsi="宋体" w:cs="宋体"/>
          <w:color w:val="auto"/>
          <w:sz w:val="24"/>
          <w:szCs w:val="24"/>
          <w:highlight w:val="none"/>
          <w:lang w:val="en-US" w:eastAsia="zh-CN"/>
        </w:rPr>
        <w:t>马先生</w:t>
      </w:r>
    </w:p>
    <w:p w14:paraId="7ACA07E3">
      <w:pPr>
        <w:pStyle w:val="31"/>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电话：</w:t>
      </w:r>
      <w:r>
        <w:rPr>
          <w:rFonts w:hint="eastAsia" w:ascii="宋体" w:hAnsi="宋体" w:eastAsia="宋体" w:cs="宋体"/>
          <w:b w:val="0"/>
          <w:bCs w:val="0"/>
          <w:i w:val="0"/>
          <w:caps w:val="0"/>
          <w:color w:val="auto"/>
          <w:spacing w:val="0"/>
          <w:kern w:val="2"/>
          <w:sz w:val="21"/>
          <w:szCs w:val="21"/>
          <w:highlight w:val="none"/>
          <w:u w:val="none"/>
          <w:shd w:val="clear" w:color="auto" w:fill="FFFFFF"/>
          <w:lang w:val="en-US" w:eastAsia="zh-CN" w:bidi="ar-SA"/>
        </w:rPr>
        <w:t>13949037203</w:t>
      </w:r>
    </w:p>
    <w:p w14:paraId="6E295FC1">
      <w:pPr>
        <w:pStyle w:val="31"/>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7EE7534">
      <w:pPr>
        <w:pStyle w:val="31"/>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1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21  </w:t>
      </w:r>
      <w:r>
        <w:rPr>
          <w:rFonts w:hint="eastAsia" w:ascii="宋体" w:hAnsi="宋体" w:cs="宋体"/>
          <w:color w:val="auto"/>
          <w:sz w:val="24"/>
          <w:szCs w:val="24"/>
          <w:highlight w:val="none"/>
        </w:rPr>
        <w:t>日</w:t>
      </w:r>
    </w:p>
    <w:p w14:paraId="7EE36253">
      <w:pPr>
        <w:pStyle w:val="31"/>
        <w:spacing w:line="360" w:lineRule="auto"/>
        <w:rPr>
          <w:rFonts w:hint="eastAsia" w:ascii="宋体" w:hAnsi="宋体" w:cs="宋体"/>
          <w:color w:val="auto"/>
          <w:sz w:val="24"/>
          <w:szCs w:val="24"/>
          <w:highlight w:val="none"/>
        </w:rPr>
      </w:pPr>
    </w:p>
    <w:p w14:paraId="46E226AA">
      <w:pPr>
        <w:widowControl/>
        <w:spacing w:line="360" w:lineRule="auto"/>
        <w:ind w:firstLine="636"/>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特别提示：</w:t>
      </w:r>
    </w:p>
    <w:p w14:paraId="45A62AEF">
      <w:pPr>
        <w:widowControl/>
        <w:spacing w:line="360" w:lineRule="auto"/>
        <w:ind w:firstLine="64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本项目为全流程电子化交易项目，请认真阅读采购文件，并注意以下事项。</w:t>
      </w:r>
    </w:p>
    <w:p w14:paraId="7481AF95">
      <w:pPr>
        <w:widowControl/>
        <w:spacing w:line="360" w:lineRule="auto"/>
        <w:ind w:firstLine="64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1.投标人应按采购文件规定编制、提交电子投标文件</w:t>
      </w:r>
    </w:p>
    <w:p w14:paraId="27631675">
      <w:pPr>
        <w:widowControl/>
        <w:spacing w:line="360" w:lineRule="auto"/>
        <w:ind w:firstLine="64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2.本项目投标人不用再提供纸质投标文件。</w:t>
      </w:r>
    </w:p>
    <w:p w14:paraId="781E2E77">
      <w:pPr>
        <w:widowControl/>
        <w:spacing w:line="360" w:lineRule="auto"/>
        <w:ind w:firstLine="64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3.电子文件下载、制作、提交期间和开标（电子投标文件的解密）环节，投标人须使用CA数字证书（证书须在有效期内）。</w:t>
      </w:r>
    </w:p>
    <w:p w14:paraId="3A10ABCB">
      <w:pPr>
        <w:widowControl/>
        <w:spacing w:line="360" w:lineRule="auto"/>
        <w:ind w:firstLine="64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4.电子投标文件的制作</w:t>
      </w:r>
    </w:p>
    <w:p w14:paraId="551F5CC1">
      <w:pPr>
        <w:widowControl/>
        <w:spacing w:line="360" w:lineRule="auto"/>
        <w:ind w:firstLine="640"/>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4.1 投标人登录《全国公共资源交易平台(河南省▪平顶山市)》公共资源交易系统（http://221.176.192.166:8080/ggzy/）下载“平顶山投标文件制作系统”，按采购文件要求制作电子投标文件。</w:t>
      </w:r>
    </w:p>
    <w:p w14:paraId="58036BB1">
      <w:pPr>
        <w:widowControl/>
        <w:spacing w:line="360" w:lineRule="auto"/>
        <w:ind w:firstLine="640"/>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电子投标文件的制作，参考《全国公共资源交易平台(河南省▪平顶山市)》公共资源交易系统——组件下载——交易系统操作手册（投标人、投标人）。</w:t>
      </w:r>
    </w:p>
    <w:p w14:paraId="5049A1B1">
      <w:pPr>
        <w:widowControl/>
        <w:spacing w:line="360" w:lineRule="auto"/>
        <w:ind w:firstLine="640"/>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4.2 投标人须将采购文件要求的资质、业绩、荣誉及相关人员证明材料等资料原件扫描件（或图片）制作到所提交的电子投标文件中。</w:t>
      </w:r>
    </w:p>
    <w:p w14:paraId="70257BEF">
      <w:pPr>
        <w:widowControl/>
        <w:spacing w:line="360" w:lineRule="auto"/>
        <w:ind w:firstLine="640"/>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4.3投标人所下载的采购文件，按要求制作电子投标文件，并按采购文件要求在相应位置加盖投标人电子印章和法人</w:t>
      </w:r>
      <w:r>
        <w:rPr>
          <w:rFonts w:hint="eastAsia" w:ascii="宋体" w:hAnsi="宋体" w:cs="宋体"/>
          <w:b/>
          <w:bCs/>
          <w:color w:val="auto"/>
          <w:sz w:val="24"/>
          <w:szCs w:val="28"/>
          <w:highlight w:val="none"/>
          <w:lang w:eastAsia="zh-CN"/>
        </w:rPr>
        <w:t>（</w:t>
      </w:r>
      <w:r>
        <w:rPr>
          <w:rFonts w:hint="eastAsia" w:ascii="宋体" w:hAnsi="宋体" w:cs="宋体"/>
          <w:b/>
          <w:bCs/>
          <w:color w:val="auto"/>
          <w:sz w:val="24"/>
          <w:szCs w:val="28"/>
          <w:highlight w:val="none"/>
          <w:lang w:val="en-US" w:eastAsia="zh-CN"/>
        </w:rPr>
        <w:t>负责人）</w:t>
      </w:r>
      <w:r>
        <w:rPr>
          <w:rFonts w:hint="eastAsia" w:ascii="宋体" w:hAnsi="宋体" w:cs="宋体"/>
          <w:b/>
          <w:bCs/>
          <w:color w:val="auto"/>
          <w:sz w:val="24"/>
          <w:szCs w:val="28"/>
          <w:highlight w:val="none"/>
        </w:rPr>
        <w:t>电子印章；电子投标文件对应生成一个文件夹（xxxx项目xx标段）, 其中包含2个文件和1个文件夹。后缀名为“.file”的文件用于电子投标使用，名称为“备份”的文件夹使用电子介质存储，供开标现场备用。</w:t>
      </w:r>
    </w:p>
    <w:p w14:paraId="4829302A">
      <w:pPr>
        <w:widowControl/>
        <w:spacing w:line="360" w:lineRule="auto"/>
        <w:ind w:firstLine="64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5.加密电子投标文件的提交</w:t>
      </w:r>
    </w:p>
    <w:p w14:paraId="726702AA">
      <w:pPr>
        <w:widowControl/>
        <w:spacing w:line="360" w:lineRule="auto"/>
        <w:ind w:firstLine="634"/>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5.1加密电子投标文件应在采购文件规定的投标截止时间（开标时间）之前成功提交至《全国公共资源交易平台(河南省▪平顶山市)》公共资源交易系统（http://221.176.192.166:8080/ggzy/）。</w:t>
      </w:r>
    </w:p>
    <w:p w14:paraId="1F2C274A">
      <w:pPr>
        <w:widowControl/>
        <w:spacing w:line="360" w:lineRule="auto"/>
        <w:ind w:firstLine="640"/>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投标人应充分考虑并预留技术处理和上传数据所需时间。</w:t>
      </w:r>
    </w:p>
    <w:p w14:paraId="7535C875">
      <w:pPr>
        <w:widowControl/>
        <w:snapToGrid w:val="0"/>
        <w:spacing w:line="360" w:lineRule="auto"/>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“不见面”开标注意事项</w:t>
      </w:r>
    </w:p>
    <w:p w14:paraId="1503687F">
      <w:pPr>
        <w:widowControl/>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2C7C75FE">
      <w:pPr>
        <w:widowControl/>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2、如出现投标人的电子投标文件无法解密的情况，投标人应及时联系招标人（代理机构）进行说明。投标文件解密异常，按以下步骤进行处理：</w:t>
      </w:r>
    </w:p>
    <w:p w14:paraId="74BEAAB1">
      <w:pPr>
        <w:widowControl/>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（1）如果是投标文件自身问题导致投标文件无法解密的，该投标文件将不予接收、解密。</w:t>
      </w:r>
    </w:p>
    <w:p w14:paraId="068DBBFD">
      <w:pPr>
        <w:widowControl/>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（2）如果是电子化交易系统问题造成投标文件无法解密的，将由技术人员进行排查处理。如短时间内问题无法解决的，将由招标人（代理机构）联系监督部门申请暂停开标，待问题解决后继续开标。</w:t>
      </w:r>
    </w:p>
    <w:p w14:paraId="043BEF35">
      <w:pPr>
        <w:widowControl/>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3、所有投标文件解密完成后，由招标人（代理机构）操作，对开标结果进行公示。</w:t>
      </w:r>
    </w:p>
    <w:p w14:paraId="006364FA">
      <w:pPr>
        <w:widowControl/>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4、投标人应保证在开标期间电话、电脑、网络等能够正常使用，投标人因停电、电脑病毒、网络堵塞等原因，未在规定的解密时间内对投标文件进行解密的，其投标文件不予接收。</w:t>
      </w:r>
    </w:p>
    <w:p w14:paraId="41C819E2">
      <w:pPr>
        <w:widowControl/>
        <w:snapToGrid w:val="0"/>
        <w:spacing w:line="360" w:lineRule="auto"/>
        <w:ind w:firstLine="480"/>
        <w:jc w:val="left"/>
        <w:rPr>
          <w:rFonts w:hint="eastAsia" w:ascii="宋体" w:hAnsi="宋体" w:cs="宋体"/>
          <w:b/>
          <w:bCs/>
          <w:color w:val="auto"/>
          <w:sz w:val="36"/>
          <w:szCs w:val="36"/>
          <w:highlight w:val="none"/>
        </w:rPr>
      </w:pPr>
      <w:r>
        <w:rPr>
          <w:rFonts w:hint="eastAsia" w:ascii="宋体" w:hAnsi="宋体" w:cs="宋体"/>
          <w:color w:val="auto"/>
          <w:kern w:val="0"/>
          <w:sz w:val="24"/>
          <w:szCs w:val="24"/>
          <w:highlight w:val="none"/>
        </w:rPr>
        <w:t>5、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p w14:paraId="7CB28BBC">
      <w:pPr>
        <w:spacing w:line="360" w:lineRule="auto"/>
        <w:jc w:val="center"/>
        <w:outlineLvl w:val="0"/>
        <w:rPr>
          <w:rFonts w:hint="eastAsia" w:ascii="宋体" w:hAnsi="宋体" w:cs="宋体"/>
          <w:b/>
          <w:bCs/>
          <w:color w:val="auto"/>
          <w:sz w:val="56"/>
          <w:szCs w:val="56"/>
          <w:highlight w:val="none"/>
        </w:rPr>
      </w:pPr>
      <w:bookmarkStart w:id="28" w:name="_Toc16616"/>
      <w:r>
        <w:rPr>
          <w:rFonts w:hint="eastAsia" w:ascii="宋体" w:hAnsi="宋体" w:cs="宋体"/>
          <w:b/>
          <w:bCs/>
          <w:color w:val="auto"/>
          <w:sz w:val="36"/>
          <w:szCs w:val="36"/>
          <w:highlight w:val="none"/>
        </w:rPr>
        <w:br w:type="page"/>
      </w:r>
      <w:bookmarkStart w:id="29" w:name="_Toc17985"/>
      <w:bookmarkStart w:id="30" w:name="_Toc27466"/>
      <w:r>
        <w:rPr>
          <w:rFonts w:hint="eastAsia" w:ascii="宋体" w:hAnsi="宋体" w:cs="宋体"/>
          <w:b/>
          <w:bCs/>
          <w:color w:val="auto"/>
          <w:sz w:val="36"/>
          <w:szCs w:val="36"/>
          <w:highlight w:val="none"/>
        </w:rPr>
        <w:t>第二章 投标人须知</w:t>
      </w:r>
      <w:bookmarkEnd w:id="28"/>
      <w:bookmarkEnd w:id="29"/>
      <w:bookmarkEnd w:id="30"/>
      <w:bookmarkStart w:id="31" w:name="_Toc152045528"/>
      <w:bookmarkStart w:id="32" w:name="_Toc152042304"/>
      <w:bookmarkStart w:id="33" w:name="_Toc144974496"/>
    </w:p>
    <w:p w14:paraId="29604BBE">
      <w:pPr>
        <w:autoSpaceDE w:val="0"/>
        <w:autoSpaceDN w:val="0"/>
        <w:adjustRightInd w:val="0"/>
        <w:spacing w:line="360" w:lineRule="auto"/>
        <w:jc w:val="center"/>
        <w:outlineLvl w:val="1"/>
        <w:rPr>
          <w:rFonts w:hint="eastAsia" w:ascii="宋体" w:hAnsi="宋体" w:cs="宋体"/>
          <w:b/>
          <w:bCs/>
          <w:color w:val="auto"/>
          <w:sz w:val="24"/>
          <w:szCs w:val="24"/>
          <w:highlight w:val="none"/>
        </w:rPr>
      </w:pPr>
      <w:bookmarkStart w:id="34" w:name="_Toc3427"/>
      <w:bookmarkStart w:id="35" w:name="_Toc3401"/>
      <w:r>
        <w:rPr>
          <w:rFonts w:hint="eastAsia" w:ascii="宋体" w:hAnsi="宋体" w:cs="宋体"/>
          <w:b/>
          <w:bCs/>
          <w:color w:val="auto"/>
          <w:sz w:val="24"/>
          <w:szCs w:val="24"/>
          <w:highlight w:val="none"/>
        </w:rPr>
        <w:t>投标人须知前附表</w:t>
      </w:r>
      <w:bookmarkEnd w:id="31"/>
      <w:bookmarkEnd w:id="32"/>
      <w:bookmarkEnd w:id="33"/>
      <w:bookmarkEnd w:id="34"/>
      <w:bookmarkEnd w:id="3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495"/>
        <w:gridCol w:w="6284"/>
      </w:tblGrid>
      <w:tr w14:paraId="7B37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68363D6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2495" w:type="dxa"/>
            <w:noWrap w:val="0"/>
            <w:vAlign w:val="center"/>
          </w:tcPr>
          <w:p w14:paraId="48E3555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p>
        </w:tc>
        <w:tc>
          <w:tcPr>
            <w:tcW w:w="6284" w:type="dxa"/>
            <w:noWrap w:val="0"/>
            <w:vAlign w:val="center"/>
          </w:tcPr>
          <w:p w14:paraId="6F56194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内  容</w:t>
            </w:r>
          </w:p>
        </w:tc>
      </w:tr>
      <w:tr w14:paraId="5ABA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3508E4C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495" w:type="dxa"/>
            <w:noWrap w:val="0"/>
            <w:vAlign w:val="center"/>
          </w:tcPr>
          <w:p w14:paraId="30D3A65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采购人</w:t>
            </w:r>
          </w:p>
        </w:tc>
        <w:tc>
          <w:tcPr>
            <w:tcW w:w="6284" w:type="dxa"/>
            <w:noWrap w:val="0"/>
            <w:vAlign w:val="center"/>
          </w:tcPr>
          <w:p w14:paraId="2BC3C9FA">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eastAsia="zh-CN"/>
              </w:rPr>
              <w:t>鲁山县城市管理局</w:t>
            </w:r>
          </w:p>
          <w:p w14:paraId="42CAF501">
            <w:pPr>
              <w:pStyle w:val="31"/>
              <w:spacing w:line="360" w:lineRule="auto"/>
              <w:ind w:firstLine="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eastAsia="zh-CN"/>
              </w:rPr>
              <w:t>鲁山县鲁平大道西段司法大楼10楼</w:t>
            </w:r>
          </w:p>
          <w:p w14:paraId="371C17B9">
            <w:pPr>
              <w:pStyle w:val="31"/>
              <w:spacing w:line="360" w:lineRule="auto"/>
              <w:ind w:firstLine="0" w:firstLine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上管先生</w:t>
            </w:r>
          </w:p>
          <w:p w14:paraId="34314B54">
            <w:pPr>
              <w:pStyle w:val="31"/>
              <w:spacing w:line="360" w:lineRule="auto"/>
              <w:ind w:firstLine="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联系电话：</w:t>
            </w:r>
            <w:r>
              <w:rPr>
                <w:rFonts w:hint="eastAsia"/>
                <w:sz w:val="22"/>
                <w:szCs w:val="22"/>
                <w:highlight w:val="none"/>
                <w:lang w:eastAsia="zh-CN"/>
              </w:rPr>
              <w:t>15093783306</w:t>
            </w:r>
          </w:p>
        </w:tc>
      </w:tr>
      <w:tr w14:paraId="5D3E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0E706C7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495" w:type="dxa"/>
            <w:noWrap w:val="0"/>
            <w:vAlign w:val="center"/>
          </w:tcPr>
          <w:p w14:paraId="3A224F5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w:t>
            </w:r>
          </w:p>
        </w:tc>
        <w:tc>
          <w:tcPr>
            <w:tcW w:w="6284" w:type="dxa"/>
            <w:noWrap w:val="0"/>
            <w:vAlign w:val="center"/>
          </w:tcPr>
          <w:p w14:paraId="25131FBE">
            <w:pPr>
              <w:pStyle w:val="31"/>
              <w:spacing w:line="36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代理机构：</w:t>
            </w:r>
            <w:r>
              <w:rPr>
                <w:rFonts w:hint="eastAsia" w:ascii="宋体" w:hAnsi="宋体" w:cs="宋体"/>
                <w:color w:val="auto"/>
                <w:sz w:val="24"/>
                <w:szCs w:val="24"/>
                <w:highlight w:val="none"/>
                <w:lang w:eastAsia="zh-CN"/>
              </w:rPr>
              <w:t>河南省亿达工程管理咨询有限公司</w:t>
            </w:r>
            <w:r>
              <w:rPr>
                <w:rFonts w:hint="eastAsia" w:ascii="宋体" w:hAnsi="宋体" w:cs="宋体"/>
                <w:color w:val="auto"/>
                <w:sz w:val="24"/>
                <w:szCs w:val="24"/>
                <w:highlight w:val="none"/>
              </w:rPr>
              <w:t xml:space="preserve"> </w:t>
            </w:r>
          </w:p>
          <w:p w14:paraId="210F65A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eastAsia="宋体" w:cs="宋体"/>
                <w:color w:val="auto"/>
                <w:spacing w:val="-1"/>
                <w:sz w:val="24"/>
                <w:szCs w:val="24"/>
                <w:highlight w:val="none"/>
                <w:lang w:val="en-US" w:eastAsia="zh-CN"/>
              </w:rPr>
              <w:t>马先生</w:t>
            </w:r>
          </w:p>
          <w:p w14:paraId="53E74FA5">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地址：</w:t>
            </w:r>
            <w:r>
              <w:rPr>
                <w:rFonts w:hint="eastAsia" w:ascii="宋体" w:hAnsi="宋体" w:eastAsia="宋体" w:cs="宋体"/>
                <w:color w:val="auto"/>
                <w:sz w:val="24"/>
                <w:szCs w:val="24"/>
                <w:highlight w:val="none"/>
                <w:lang w:val="en-US" w:eastAsia="zh-CN"/>
              </w:rPr>
              <w:t>河南自贸试验区郑州片区（金水）柳东路9-3P号240025</w:t>
            </w:r>
          </w:p>
          <w:p w14:paraId="0EF47D80">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电话：</w:t>
            </w:r>
            <w:r>
              <w:rPr>
                <w:rFonts w:hint="eastAsia" w:ascii="宋体" w:hAnsi="宋体" w:eastAsia="宋体" w:cs="宋体"/>
                <w:b w:val="0"/>
                <w:bCs w:val="0"/>
                <w:i w:val="0"/>
                <w:caps w:val="0"/>
                <w:color w:val="auto"/>
                <w:spacing w:val="0"/>
                <w:kern w:val="2"/>
                <w:sz w:val="21"/>
                <w:szCs w:val="21"/>
                <w:highlight w:val="none"/>
                <w:u w:val="none"/>
                <w:shd w:val="clear" w:color="auto" w:fill="FFFFFF"/>
                <w:lang w:val="en-US" w:eastAsia="zh-CN" w:bidi="ar-SA"/>
              </w:rPr>
              <w:t>13949037203</w:t>
            </w:r>
          </w:p>
        </w:tc>
      </w:tr>
      <w:tr w14:paraId="54B4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76ABE5E7">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495" w:type="dxa"/>
            <w:noWrap w:val="0"/>
            <w:vAlign w:val="center"/>
          </w:tcPr>
          <w:p w14:paraId="4C8FE99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监督单位</w:t>
            </w:r>
          </w:p>
        </w:tc>
        <w:tc>
          <w:tcPr>
            <w:tcW w:w="6284" w:type="dxa"/>
            <w:noWrap w:val="0"/>
            <w:vAlign w:val="center"/>
          </w:tcPr>
          <w:p w14:paraId="607C54B0">
            <w:pPr>
              <w:spacing w:line="360" w:lineRule="auto"/>
              <w:ind w:right="315"/>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监督单位：</w:t>
            </w:r>
            <w:r>
              <w:rPr>
                <w:rFonts w:hint="eastAsia" w:ascii="宋体" w:hAnsi="宋体" w:cs="宋体"/>
                <w:color w:val="auto"/>
                <w:sz w:val="24"/>
                <w:szCs w:val="24"/>
                <w:highlight w:val="none"/>
              </w:rPr>
              <w:t>鲁山县财政局政府采购服务中心</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统一社会信用代码：11410423005487188A</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联系方式：0375-5057526</w:t>
            </w:r>
          </w:p>
        </w:tc>
      </w:tr>
      <w:tr w14:paraId="0457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3660DF4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495" w:type="dxa"/>
            <w:noWrap w:val="0"/>
            <w:vAlign w:val="bottom"/>
          </w:tcPr>
          <w:p w14:paraId="186D077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284" w:type="dxa"/>
            <w:noWrap w:val="0"/>
            <w:vAlign w:val="center"/>
          </w:tcPr>
          <w:p w14:paraId="605F12FD">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鲁山县城市管理局鲁山县数字城管系统升级改造项目</w:t>
            </w:r>
          </w:p>
        </w:tc>
      </w:tr>
      <w:tr w14:paraId="28DF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396C4DF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495" w:type="dxa"/>
            <w:noWrap w:val="0"/>
            <w:vAlign w:val="center"/>
          </w:tcPr>
          <w:p w14:paraId="5501222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资金来源，落实情况</w:t>
            </w:r>
          </w:p>
        </w:tc>
        <w:tc>
          <w:tcPr>
            <w:tcW w:w="6284" w:type="dxa"/>
            <w:noWrap w:val="0"/>
            <w:vAlign w:val="center"/>
          </w:tcPr>
          <w:p w14:paraId="3D5EC26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财政资金</w:t>
            </w:r>
            <w:r>
              <w:rPr>
                <w:rFonts w:hint="eastAsia" w:ascii="宋体" w:hAnsi="宋体" w:cs="宋体"/>
                <w:color w:val="auto"/>
                <w:sz w:val="24"/>
                <w:szCs w:val="24"/>
                <w:highlight w:val="none"/>
              </w:rPr>
              <w:t>，已落实</w:t>
            </w:r>
          </w:p>
        </w:tc>
      </w:tr>
      <w:tr w14:paraId="55E2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9" w:type="dxa"/>
            <w:noWrap w:val="0"/>
            <w:vAlign w:val="center"/>
          </w:tcPr>
          <w:p w14:paraId="2031A16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2495" w:type="dxa"/>
            <w:noWrap w:val="0"/>
            <w:vAlign w:val="center"/>
          </w:tcPr>
          <w:p w14:paraId="791EE8AD">
            <w:pPr>
              <w:spacing w:line="360" w:lineRule="auto"/>
              <w:jc w:val="center"/>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项目地点</w:t>
            </w:r>
          </w:p>
        </w:tc>
        <w:tc>
          <w:tcPr>
            <w:tcW w:w="6284" w:type="dxa"/>
            <w:noWrap w:val="0"/>
            <w:vAlign w:val="center"/>
          </w:tcPr>
          <w:p w14:paraId="708BF6D7">
            <w:pPr>
              <w:spacing w:line="360" w:lineRule="auto"/>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鲁山县境内</w:t>
            </w:r>
          </w:p>
        </w:tc>
      </w:tr>
      <w:tr w14:paraId="2BE6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5712F80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2495" w:type="dxa"/>
            <w:noWrap w:val="0"/>
            <w:vAlign w:val="center"/>
          </w:tcPr>
          <w:p w14:paraId="09F345CD">
            <w:pPr>
              <w:spacing w:line="360" w:lineRule="auto"/>
              <w:jc w:val="center"/>
              <w:rPr>
                <w:rFonts w:hint="eastAsia" w:ascii="宋体" w:hAnsi="宋体" w:cs="宋体"/>
                <w:color w:val="auto"/>
                <w:spacing w:val="4"/>
                <w:sz w:val="24"/>
                <w:szCs w:val="24"/>
                <w:highlight w:val="none"/>
              </w:rPr>
            </w:pPr>
            <w:r>
              <w:rPr>
                <w:rFonts w:hint="eastAsia" w:ascii="宋体" w:hAnsi="宋体" w:cs="宋体"/>
                <w:color w:val="auto"/>
                <w:sz w:val="24"/>
                <w:szCs w:val="24"/>
                <w:highlight w:val="none"/>
              </w:rPr>
              <w:t>采购内容</w:t>
            </w:r>
          </w:p>
        </w:tc>
        <w:tc>
          <w:tcPr>
            <w:tcW w:w="6284" w:type="dxa"/>
            <w:noWrap w:val="0"/>
            <w:vAlign w:val="center"/>
          </w:tcPr>
          <w:p w14:paraId="3E1BA4BC">
            <w:pPr>
              <w:spacing w:line="360" w:lineRule="auto"/>
              <w:rPr>
                <w:rFonts w:hint="eastAsia" w:ascii="宋体" w:hAnsi="宋体" w:cs="宋体"/>
                <w:color w:val="auto"/>
                <w:spacing w:val="4"/>
                <w:sz w:val="24"/>
                <w:szCs w:val="24"/>
                <w:highlight w:val="none"/>
              </w:rPr>
            </w:pPr>
            <w:r>
              <w:rPr>
                <w:rFonts w:hint="eastAsia" w:ascii="Calibri" w:hAnsi="Calibri" w:eastAsia="宋体" w:cs="Times New Roman"/>
                <w:kern w:val="0"/>
                <w:sz w:val="22"/>
                <w:szCs w:val="22"/>
                <w:highlight w:val="none"/>
                <w:lang w:val="en-US" w:eastAsia="zh-CN" w:bidi="ar-SA"/>
              </w:rPr>
              <w:t>本项目数字城管系统软件部分升级，数据普查服务，以及大屏幕显示系统，办公系统，数据服务系统与数据交换系统、文明城市评测监控系统等硬件补充。</w:t>
            </w:r>
          </w:p>
        </w:tc>
      </w:tr>
      <w:tr w14:paraId="127F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0566483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2495" w:type="dxa"/>
            <w:noWrap w:val="0"/>
            <w:vAlign w:val="center"/>
          </w:tcPr>
          <w:p w14:paraId="5B92419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最高限价</w:t>
            </w:r>
          </w:p>
        </w:tc>
        <w:tc>
          <w:tcPr>
            <w:tcW w:w="6284" w:type="dxa"/>
            <w:noWrap w:val="0"/>
            <w:vAlign w:val="center"/>
          </w:tcPr>
          <w:p w14:paraId="544C6D50">
            <w:pPr>
              <w:spacing w:line="360" w:lineRule="auto"/>
              <w:rPr>
                <w:rFonts w:hint="eastAsia"/>
                <w:color w:val="auto"/>
                <w:highlight w:val="none"/>
              </w:rPr>
            </w:pPr>
            <w:r>
              <w:rPr>
                <w:rFonts w:hint="eastAsia"/>
                <w:color w:val="auto"/>
                <w:sz w:val="24"/>
                <w:szCs w:val="24"/>
                <w:highlight w:val="none"/>
                <w:lang w:val="en-US" w:eastAsia="zh-CN"/>
              </w:rPr>
              <w:t>1913800</w:t>
            </w:r>
            <w:r>
              <w:rPr>
                <w:rFonts w:hint="eastAsia"/>
                <w:color w:val="auto"/>
                <w:sz w:val="24"/>
                <w:szCs w:val="24"/>
                <w:highlight w:val="none"/>
              </w:rPr>
              <w:t>.00元</w:t>
            </w:r>
          </w:p>
        </w:tc>
      </w:tr>
      <w:tr w14:paraId="4058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2F19680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2495" w:type="dxa"/>
            <w:noWrap w:val="0"/>
            <w:vAlign w:val="center"/>
          </w:tcPr>
          <w:p w14:paraId="36D2234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服务</w:t>
            </w:r>
            <w:r>
              <w:rPr>
                <w:rFonts w:hint="eastAsia" w:ascii="宋体" w:hAnsi="宋体" w:cs="宋体"/>
                <w:color w:val="auto"/>
                <w:sz w:val="24"/>
                <w:szCs w:val="24"/>
                <w:highlight w:val="none"/>
                <w:lang w:val="en-US" w:eastAsia="zh-CN"/>
              </w:rPr>
              <w:t>期限</w:t>
            </w:r>
          </w:p>
        </w:tc>
        <w:tc>
          <w:tcPr>
            <w:tcW w:w="6284" w:type="dxa"/>
            <w:noWrap w:val="0"/>
            <w:vAlign w:val="center"/>
          </w:tcPr>
          <w:p w14:paraId="6C719AAD">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eastAsia="zh-CN"/>
              </w:rPr>
              <w:t>一年</w:t>
            </w:r>
          </w:p>
        </w:tc>
      </w:tr>
      <w:tr w14:paraId="55CC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785A061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2495" w:type="dxa"/>
            <w:noWrap w:val="0"/>
            <w:vAlign w:val="center"/>
          </w:tcPr>
          <w:p w14:paraId="33B99B26">
            <w:pPr>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服务标准</w:t>
            </w:r>
          </w:p>
        </w:tc>
        <w:tc>
          <w:tcPr>
            <w:tcW w:w="6284" w:type="dxa"/>
            <w:noWrap w:val="0"/>
            <w:vAlign w:val="center"/>
          </w:tcPr>
          <w:p w14:paraId="21B1A849">
            <w:pPr>
              <w:pStyle w:val="30"/>
              <w:spacing w:line="360" w:lineRule="auto"/>
              <w:ind w:left="0" w:leftChars="0" w:firstLine="0" w:firstLineChars="0"/>
              <w:rPr>
                <w:rFonts w:hint="eastAsia" w:ascii="宋体" w:hAnsi="宋体" w:cs="宋体"/>
                <w:color w:val="auto"/>
                <w:sz w:val="24"/>
                <w:szCs w:val="24"/>
                <w:highlight w:val="none"/>
              </w:rPr>
            </w:pPr>
            <w:r>
              <w:rPr>
                <w:rFonts w:hint="eastAsia"/>
                <w:sz w:val="22"/>
                <w:szCs w:val="22"/>
                <w:highlight w:val="none"/>
              </w:rPr>
              <w:t>符合国家相关行业标准及采购人要求</w:t>
            </w:r>
          </w:p>
        </w:tc>
      </w:tr>
      <w:tr w14:paraId="4D58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3B20FED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2495" w:type="dxa"/>
            <w:noWrap w:val="0"/>
            <w:vAlign w:val="center"/>
          </w:tcPr>
          <w:p w14:paraId="0DA4004A">
            <w:pPr>
              <w:spacing w:line="360" w:lineRule="auto"/>
              <w:jc w:val="center"/>
              <w:rPr>
                <w:rFonts w:hint="eastAsia" w:ascii="宋体" w:hAnsi="宋体" w:cs="宋体"/>
                <w:bCs/>
                <w:color w:val="auto"/>
                <w:sz w:val="24"/>
                <w:szCs w:val="24"/>
                <w:highlight w:val="none"/>
              </w:rPr>
            </w:pPr>
            <w:r>
              <w:rPr>
                <w:rFonts w:hint="eastAsia" w:ascii="宋体" w:hAnsi="宋体" w:cs="宋体"/>
                <w:color w:val="auto"/>
                <w:kern w:val="0"/>
                <w:sz w:val="24"/>
                <w:highlight w:val="none"/>
              </w:rPr>
              <w:t>合同履行期限</w:t>
            </w:r>
          </w:p>
        </w:tc>
        <w:tc>
          <w:tcPr>
            <w:tcW w:w="6284" w:type="dxa"/>
            <w:noWrap w:val="0"/>
            <w:vAlign w:val="center"/>
          </w:tcPr>
          <w:p w14:paraId="192C16EF">
            <w:pPr>
              <w:spacing w:line="360" w:lineRule="auto"/>
              <w:rPr>
                <w:rFonts w:hint="eastAsia" w:ascii="宋体" w:hAnsi="宋体" w:cs="宋体"/>
                <w:color w:val="auto"/>
                <w:sz w:val="24"/>
                <w:szCs w:val="24"/>
                <w:highlight w:val="none"/>
              </w:rPr>
            </w:pPr>
            <w:r>
              <w:rPr>
                <w:rFonts w:hint="eastAsia"/>
                <w:sz w:val="22"/>
                <w:szCs w:val="22"/>
                <w:highlight w:val="none"/>
              </w:rPr>
              <w:t>同服务期限</w:t>
            </w:r>
          </w:p>
        </w:tc>
      </w:tr>
      <w:tr w14:paraId="0A02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9" w:type="dxa"/>
            <w:noWrap w:val="0"/>
            <w:vAlign w:val="center"/>
          </w:tcPr>
          <w:p w14:paraId="71F89DC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2495" w:type="dxa"/>
            <w:noWrap w:val="0"/>
            <w:vAlign w:val="center"/>
          </w:tcPr>
          <w:p w14:paraId="47B01B0C">
            <w:pPr>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highlight w:val="none"/>
              </w:rPr>
              <w:t>标段划分</w:t>
            </w:r>
          </w:p>
        </w:tc>
        <w:tc>
          <w:tcPr>
            <w:tcW w:w="6284" w:type="dxa"/>
            <w:noWrap w:val="0"/>
            <w:vAlign w:val="center"/>
          </w:tcPr>
          <w:p w14:paraId="56EFF9B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本项目划分</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个标段</w:t>
            </w:r>
          </w:p>
        </w:tc>
      </w:tr>
      <w:tr w14:paraId="0620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6103760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2495" w:type="dxa"/>
            <w:noWrap w:val="0"/>
            <w:vAlign w:val="center"/>
          </w:tcPr>
          <w:p w14:paraId="36CCF83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投标人资格要求</w:t>
            </w:r>
          </w:p>
        </w:tc>
        <w:tc>
          <w:tcPr>
            <w:tcW w:w="6284" w:type="dxa"/>
            <w:noWrap w:val="0"/>
            <w:vAlign w:val="center"/>
          </w:tcPr>
          <w:p w14:paraId="73307D12">
            <w:pPr>
              <w:spacing w:line="360" w:lineRule="auto"/>
              <w:rPr>
                <w:rFonts w:hint="eastAsia" w:ascii="宋体" w:hAnsi="宋体" w:cs="宋体"/>
                <w:color w:val="auto"/>
                <w:spacing w:val="4"/>
                <w:sz w:val="24"/>
                <w:szCs w:val="24"/>
                <w:highlight w:val="none"/>
              </w:rPr>
            </w:pPr>
            <w:r>
              <w:rPr>
                <w:rFonts w:hint="eastAsia" w:ascii="宋体" w:hAnsi="宋体" w:cs="宋体"/>
                <w:b/>
                <w:bCs/>
                <w:color w:val="auto"/>
                <w:spacing w:val="4"/>
                <w:sz w:val="24"/>
                <w:szCs w:val="24"/>
                <w:highlight w:val="none"/>
                <w:lang w:val="en-US" w:eastAsia="zh-CN"/>
              </w:rPr>
              <w:t>详见招标公告“</w:t>
            </w:r>
            <w:r>
              <w:rPr>
                <w:rFonts w:hint="eastAsia" w:ascii="宋体" w:hAnsi="宋体" w:cs="宋体"/>
                <w:b/>
                <w:bCs/>
                <w:color w:val="auto"/>
                <w:spacing w:val="4"/>
                <w:sz w:val="24"/>
                <w:szCs w:val="24"/>
                <w:highlight w:val="none"/>
              </w:rPr>
              <w:t>投标人的资格要求</w:t>
            </w:r>
            <w:r>
              <w:rPr>
                <w:rFonts w:hint="eastAsia" w:ascii="宋体" w:hAnsi="宋体" w:cs="宋体"/>
                <w:b/>
                <w:bCs/>
                <w:color w:val="auto"/>
                <w:spacing w:val="4"/>
                <w:sz w:val="24"/>
                <w:szCs w:val="24"/>
                <w:highlight w:val="none"/>
                <w:lang w:val="en-US" w:eastAsia="zh-CN"/>
              </w:rPr>
              <w:t>”</w:t>
            </w:r>
          </w:p>
        </w:tc>
      </w:tr>
      <w:tr w14:paraId="7D24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501D37E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2495" w:type="dxa"/>
            <w:noWrap w:val="0"/>
            <w:vAlign w:val="center"/>
          </w:tcPr>
          <w:p w14:paraId="51C63C5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是否接受联合体投标</w:t>
            </w:r>
          </w:p>
        </w:tc>
        <w:tc>
          <w:tcPr>
            <w:tcW w:w="6284" w:type="dxa"/>
            <w:noWrap w:val="0"/>
            <w:vAlign w:val="center"/>
          </w:tcPr>
          <w:p w14:paraId="329CA66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☑不接受</w:t>
            </w:r>
          </w:p>
          <w:p w14:paraId="61D2C12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□接受</w:t>
            </w:r>
          </w:p>
        </w:tc>
      </w:tr>
      <w:tr w14:paraId="5AA8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41215F9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2495" w:type="dxa"/>
            <w:noWrap w:val="0"/>
            <w:vAlign w:val="center"/>
          </w:tcPr>
          <w:p w14:paraId="4E6F8A3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踏勘现场及答疑</w:t>
            </w:r>
          </w:p>
        </w:tc>
        <w:tc>
          <w:tcPr>
            <w:tcW w:w="6284" w:type="dxa"/>
            <w:noWrap w:val="0"/>
            <w:vAlign w:val="center"/>
          </w:tcPr>
          <w:p w14:paraId="621FE4E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☑不组织</w:t>
            </w:r>
          </w:p>
          <w:p w14:paraId="110810F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□组织</w:t>
            </w:r>
          </w:p>
        </w:tc>
      </w:tr>
      <w:tr w14:paraId="1B15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359A1A7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16</w:t>
            </w:r>
          </w:p>
        </w:tc>
        <w:tc>
          <w:tcPr>
            <w:tcW w:w="2495" w:type="dxa"/>
            <w:noWrap w:val="0"/>
            <w:vAlign w:val="center"/>
          </w:tcPr>
          <w:p w14:paraId="26FBC8D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投标预备会</w:t>
            </w:r>
          </w:p>
        </w:tc>
        <w:tc>
          <w:tcPr>
            <w:tcW w:w="6284" w:type="dxa"/>
            <w:noWrap w:val="0"/>
            <w:vAlign w:val="center"/>
          </w:tcPr>
          <w:p w14:paraId="1FFAD74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☑不召开</w:t>
            </w:r>
          </w:p>
          <w:p w14:paraId="1C1BE25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□召开</w:t>
            </w:r>
          </w:p>
        </w:tc>
      </w:tr>
      <w:tr w14:paraId="37C2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043AFC8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w:t>
            </w:r>
          </w:p>
        </w:tc>
        <w:tc>
          <w:tcPr>
            <w:tcW w:w="2495" w:type="dxa"/>
            <w:noWrap w:val="0"/>
            <w:vAlign w:val="center"/>
          </w:tcPr>
          <w:p w14:paraId="45220F5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商务、技术偏离</w:t>
            </w:r>
          </w:p>
        </w:tc>
        <w:tc>
          <w:tcPr>
            <w:tcW w:w="6284" w:type="dxa"/>
            <w:noWrap w:val="0"/>
            <w:vAlign w:val="center"/>
          </w:tcPr>
          <w:p w14:paraId="642FE6C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☑不允许负偏差</w:t>
            </w:r>
          </w:p>
          <w:p w14:paraId="0545366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允许</w:t>
            </w:r>
          </w:p>
        </w:tc>
      </w:tr>
      <w:tr w14:paraId="621B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39" w:type="dxa"/>
            <w:noWrap w:val="0"/>
            <w:vAlign w:val="center"/>
          </w:tcPr>
          <w:p w14:paraId="3EC2A5D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18</w:t>
            </w:r>
          </w:p>
        </w:tc>
        <w:tc>
          <w:tcPr>
            <w:tcW w:w="2495" w:type="dxa"/>
            <w:noWrap w:val="0"/>
            <w:vAlign w:val="center"/>
          </w:tcPr>
          <w:p w14:paraId="6ED6A1D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构成招标文件的</w:t>
            </w:r>
          </w:p>
          <w:p w14:paraId="13B5FAE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其他材料</w:t>
            </w:r>
          </w:p>
        </w:tc>
        <w:tc>
          <w:tcPr>
            <w:tcW w:w="6284" w:type="dxa"/>
            <w:noWrap w:val="0"/>
            <w:vAlign w:val="center"/>
          </w:tcPr>
          <w:p w14:paraId="5D207FD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与本项目有关的解答、澄清、修改与补充等</w:t>
            </w:r>
          </w:p>
        </w:tc>
      </w:tr>
      <w:tr w14:paraId="5524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9" w:type="dxa"/>
            <w:noWrap w:val="0"/>
            <w:vAlign w:val="center"/>
          </w:tcPr>
          <w:p w14:paraId="594FFD3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w:t>
            </w:r>
          </w:p>
        </w:tc>
        <w:tc>
          <w:tcPr>
            <w:tcW w:w="2495" w:type="dxa"/>
            <w:noWrap w:val="0"/>
            <w:vAlign w:val="center"/>
          </w:tcPr>
          <w:p w14:paraId="141418A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投标人要求澄清招标文件的截止时间</w:t>
            </w:r>
          </w:p>
        </w:tc>
        <w:tc>
          <w:tcPr>
            <w:tcW w:w="6284" w:type="dxa"/>
            <w:noWrap w:val="0"/>
            <w:vAlign w:val="center"/>
          </w:tcPr>
          <w:p w14:paraId="6D4DEF3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按招标文件规定的投标文件截止15日前，在电子交易系统中向各投标人发出</w:t>
            </w:r>
          </w:p>
        </w:tc>
      </w:tr>
      <w:tr w14:paraId="72C3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39" w:type="dxa"/>
            <w:noWrap w:val="0"/>
            <w:vAlign w:val="center"/>
          </w:tcPr>
          <w:p w14:paraId="5801923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w:t>
            </w:r>
          </w:p>
        </w:tc>
        <w:tc>
          <w:tcPr>
            <w:tcW w:w="2495" w:type="dxa"/>
            <w:noWrap w:val="0"/>
            <w:vAlign w:val="center"/>
          </w:tcPr>
          <w:p w14:paraId="47A2A79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投标截止时间</w:t>
            </w:r>
          </w:p>
        </w:tc>
        <w:tc>
          <w:tcPr>
            <w:tcW w:w="6284" w:type="dxa"/>
            <w:noWrap w:val="0"/>
            <w:vAlign w:val="center"/>
          </w:tcPr>
          <w:p w14:paraId="6E7FCF0E">
            <w:pPr>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lang w:eastAsia="zh-CN"/>
              </w:rPr>
              <w:t>2025</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 xml:space="preserve">2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 xml:space="preserve">14 </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09</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rPr>
              <w:t>分</w:t>
            </w:r>
            <w:r>
              <w:rPr>
                <w:rFonts w:hint="eastAsia" w:ascii="宋体" w:hAnsi="宋体" w:cs="宋体"/>
                <w:color w:val="auto"/>
                <w:sz w:val="24"/>
                <w:szCs w:val="24"/>
                <w:highlight w:val="none"/>
              </w:rPr>
              <w:t>（北京时间）</w:t>
            </w:r>
          </w:p>
        </w:tc>
      </w:tr>
      <w:tr w14:paraId="5ADC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6377FF4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w:t>
            </w:r>
          </w:p>
        </w:tc>
        <w:tc>
          <w:tcPr>
            <w:tcW w:w="2495" w:type="dxa"/>
            <w:noWrap w:val="0"/>
            <w:vAlign w:val="center"/>
          </w:tcPr>
          <w:p w14:paraId="6B74A54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6284" w:type="dxa"/>
            <w:noWrap w:val="0"/>
            <w:vAlign w:val="center"/>
          </w:tcPr>
          <w:p w14:paraId="075D566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本项目不收取</w:t>
            </w:r>
          </w:p>
        </w:tc>
      </w:tr>
      <w:tr w14:paraId="0067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43BBD38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w:t>
            </w:r>
          </w:p>
        </w:tc>
        <w:tc>
          <w:tcPr>
            <w:tcW w:w="2495" w:type="dxa"/>
            <w:noWrap w:val="0"/>
            <w:vAlign w:val="center"/>
          </w:tcPr>
          <w:p w14:paraId="7924455A">
            <w:pPr>
              <w:pStyle w:val="32"/>
              <w:spacing w:line="360" w:lineRule="auto"/>
              <w:jc w:val="center"/>
              <w:rPr>
                <w:rFonts w:hint="eastAsia"/>
                <w:color w:val="auto"/>
                <w:highlight w:val="none"/>
              </w:rPr>
            </w:pPr>
            <w:r>
              <w:rPr>
                <w:rFonts w:hint="eastAsia"/>
                <w:color w:val="auto"/>
                <w:highlight w:val="none"/>
                <w:lang w:val="zh-CN"/>
              </w:rPr>
              <w:t>电子化投标文件的签章要求</w:t>
            </w:r>
          </w:p>
        </w:tc>
        <w:tc>
          <w:tcPr>
            <w:tcW w:w="6284" w:type="dxa"/>
            <w:noWrap w:val="0"/>
            <w:vAlign w:val="center"/>
          </w:tcPr>
          <w:p w14:paraId="6026B89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电子化投标文件的签章：</w:t>
            </w:r>
          </w:p>
          <w:p w14:paraId="3D5DD55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1.投标人在生成电子化投标文件后，应对电子化投标文件进行签章，未进行签章的视为无效投标。</w:t>
            </w:r>
          </w:p>
          <w:p w14:paraId="1789A04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投标文件中要求法定代表人或授权委托人签字或盖章的，投标人在进行电子化投标文件签章时，以签盖法定代表人签字或签章为准。电子化投标文件具体制作教材请投标人通过CA证书登录平顶山市公共资源电子化交易系统在右上角“组建下载”中查看。</w:t>
            </w:r>
          </w:p>
        </w:tc>
      </w:tr>
      <w:tr w14:paraId="33AD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333BF8C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23</w:t>
            </w:r>
          </w:p>
        </w:tc>
        <w:tc>
          <w:tcPr>
            <w:tcW w:w="2495" w:type="dxa"/>
            <w:noWrap w:val="0"/>
            <w:vAlign w:val="center"/>
          </w:tcPr>
          <w:p w14:paraId="30159FB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投标文件格式及递交方式</w:t>
            </w:r>
          </w:p>
        </w:tc>
        <w:tc>
          <w:tcPr>
            <w:tcW w:w="6284" w:type="dxa"/>
            <w:noWrap w:val="0"/>
            <w:vAlign w:val="center"/>
          </w:tcPr>
          <w:p w14:paraId="6C78E115">
            <w:pPr>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1.投标人所上传的电子化投标文件，应是通过中心投标文件制作系统制作的，经过签章和加密后生成的电子版投标文件。生成的电子版响应文件中的主文件（项目文件格式为：xxx公司_ 项目名称.file）上传至平顶山市公共资源交易中心交易系统；</w:t>
            </w:r>
          </w:p>
          <w:p w14:paraId="4B327217">
            <w:pPr>
              <w:pStyle w:val="13"/>
              <w:spacing w:line="360" w:lineRule="auto"/>
              <w:ind w:firstLine="0"/>
              <w:rPr>
                <w:rFonts w:hint="eastAsia" w:hAnsi="宋体" w:cs="宋体"/>
                <w:b/>
                <w:color w:val="auto"/>
                <w:sz w:val="24"/>
                <w:szCs w:val="24"/>
                <w:highlight w:val="none"/>
                <w:lang w:val="en-US" w:eastAsia="zh-CN"/>
              </w:rPr>
            </w:pPr>
            <w:r>
              <w:rPr>
                <w:rFonts w:hint="eastAsia" w:hAnsi="宋体" w:cs="宋体"/>
                <w:bCs/>
                <w:color w:val="auto"/>
                <w:kern w:val="2"/>
                <w:sz w:val="24"/>
                <w:szCs w:val="24"/>
                <w:highlight w:val="none"/>
                <w:lang w:val="zh-CN" w:eastAsia="zh-CN"/>
              </w:rPr>
              <w:t>注：电子化投标文件应在投标截止时间前成功上传至平顶山市公共资源电子化交易系统。至投标截止时间止，仍未上传成功的电子化投标文件将不予接收。（如按照电子化投标操作教材制作完成的电子化投标文件无法上传的，投标人应在投标截止时间前尽早的联系交易中心技术人员，以便有充分的时间进行处理。投标人应充分考虑到处理技术问题和上传数据等工作所需的时间问题，投标文件未在投标截止时间前成功上传的，其投标文件不予接收。）</w:t>
            </w:r>
          </w:p>
        </w:tc>
      </w:tr>
      <w:tr w14:paraId="03AC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39" w:type="dxa"/>
            <w:noWrap w:val="0"/>
            <w:vAlign w:val="center"/>
          </w:tcPr>
          <w:p w14:paraId="35287E7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24</w:t>
            </w:r>
          </w:p>
        </w:tc>
        <w:tc>
          <w:tcPr>
            <w:tcW w:w="2495" w:type="dxa"/>
            <w:noWrap w:val="0"/>
            <w:vAlign w:val="center"/>
          </w:tcPr>
          <w:p w14:paraId="3EDA7A3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递交投标文件截止时间和地点</w:t>
            </w:r>
          </w:p>
        </w:tc>
        <w:tc>
          <w:tcPr>
            <w:tcW w:w="6284" w:type="dxa"/>
            <w:noWrap w:val="0"/>
            <w:vAlign w:val="center"/>
          </w:tcPr>
          <w:p w14:paraId="726602F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递交截止时间：</w:t>
            </w:r>
            <w:r>
              <w:rPr>
                <w:rFonts w:hint="eastAsia" w:ascii="宋体" w:hAnsi="宋体" w:cs="宋体"/>
                <w:b/>
                <w:bCs/>
                <w:color w:val="auto"/>
                <w:sz w:val="24"/>
                <w:szCs w:val="24"/>
                <w:highlight w:val="none"/>
                <w:lang w:eastAsia="zh-CN"/>
              </w:rPr>
              <w:t>2025</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 xml:space="preserve"> 2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 xml:space="preserve">14 </w:t>
            </w:r>
            <w:r>
              <w:rPr>
                <w:rFonts w:hint="eastAsia" w:ascii="宋体" w:hAnsi="宋体" w:cs="宋体"/>
                <w:b/>
                <w:bCs/>
                <w:color w:val="auto"/>
                <w:sz w:val="24"/>
                <w:szCs w:val="24"/>
                <w:highlight w:val="none"/>
              </w:rPr>
              <w:t>日0</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rPr>
              <w:t>分</w:t>
            </w:r>
            <w:r>
              <w:rPr>
                <w:rFonts w:hint="eastAsia" w:ascii="宋体" w:hAnsi="宋体" w:cs="宋体"/>
                <w:color w:val="auto"/>
                <w:sz w:val="24"/>
                <w:szCs w:val="24"/>
                <w:highlight w:val="none"/>
              </w:rPr>
              <w:t>（北京时间）</w:t>
            </w:r>
          </w:p>
          <w:p w14:paraId="6FF2787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递交地点：平顶山市公共资源交易中心系统</w:t>
            </w:r>
          </w:p>
        </w:tc>
      </w:tr>
      <w:tr w14:paraId="2F13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01A8156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25</w:t>
            </w:r>
          </w:p>
        </w:tc>
        <w:tc>
          <w:tcPr>
            <w:tcW w:w="2495" w:type="dxa"/>
            <w:noWrap w:val="0"/>
            <w:vAlign w:val="center"/>
          </w:tcPr>
          <w:p w14:paraId="6A37815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投标文件份数</w:t>
            </w:r>
          </w:p>
        </w:tc>
        <w:tc>
          <w:tcPr>
            <w:tcW w:w="6284" w:type="dxa"/>
            <w:noWrap w:val="0"/>
            <w:vAlign w:val="center"/>
          </w:tcPr>
          <w:p w14:paraId="08CA734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1、加密电子投标文件一份，加密电子投标文件应在招标文件规定的投标截止时间（开标时间）之前成功提交至《全国公共资源交易平台(河南省▪平顶山市)》公共资源交易系统；</w:t>
            </w:r>
          </w:p>
          <w:p w14:paraId="7696B912">
            <w:pPr>
              <w:spacing w:line="360" w:lineRule="auto"/>
              <w:jc w:val="left"/>
              <w:rPr>
                <w:rFonts w:hint="eastAsia" w:ascii="宋体" w:hAnsi="宋体" w:cs="宋体"/>
                <w:color w:val="auto"/>
                <w:sz w:val="24"/>
                <w:szCs w:val="24"/>
                <w:highlight w:val="none"/>
              </w:rPr>
            </w:pPr>
            <w:r>
              <w:rPr>
                <w:rFonts w:hint="eastAsia" w:ascii="宋体" w:cs="宋体"/>
                <w:color w:val="auto"/>
                <w:spacing w:val="2"/>
                <w:sz w:val="24"/>
                <w:szCs w:val="24"/>
                <w:highlight w:val="none"/>
              </w:rPr>
              <w:t>2、中标单位在领取中标通知书时应提供未加密电子投标文件（WORD 或者 PDF 格式）和已加密电子投标文件的备份一份（以 U 盘的形式），两份纸质版投标文件（与电子投标文件一致），纸质版投标文件胶装（不得采用活页装订），应有目录，并逐页标注连续页码，封面需加盖公章。</w:t>
            </w:r>
          </w:p>
        </w:tc>
      </w:tr>
      <w:tr w14:paraId="3530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4E8D532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26</w:t>
            </w:r>
          </w:p>
        </w:tc>
        <w:tc>
          <w:tcPr>
            <w:tcW w:w="2495" w:type="dxa"/>
            <w:noWrap w:val="0"/>
            <w:vAlign w:val="center"/>
          </w:tcPr>
          <w:p w14:paraId="58894BC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开标时间和地点</w:t>
            </w:r>
          </w:p>
        </w:tc>
        <w:tc>
          <w:tcPr>
            <w:tcW w:w="6284" w:type="dxa"/>
            <w:noWrap w:val="0"/>
            <w:vAlign w:val="center"/>
          </w:tcPr>
          <w:p w14:paraId="69735F6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开标时间：</w:t>
            </w:r>
            <w:r>
              <w:rPr>
                <w:rFonts w:hint="eastAsia" w:ascii="宋体" w:hAnsi="宋体" w:cs="宋体"/>
                <w:color w:val="auto"/>
                <w:sz w:val="24"/>
                <w:szCs w:val="24"/>
                <w:highlight w:val="none"/>
                <w:lang w:val="en-US" w:eastAsia="zh-CN"/>
              </w:rPr>
              <w:t>同</w:t>
            </w:r>
            <w:r>
              <w:rPr>
                <w:rFonts w:hint="eastAsia" w:ascii="宋体" w:hAnsi="宋体" w:cs="宋体"/>
                <w:color w:val="auto"/>
                <w:sz w:val="24"/>
                <w:szCs w:val="24"/>
                <w:highlight w:val="none"/>
              </w:rPr>
              <w:t>递交投标文件截止时间</w:t>
            </w:r>
          </w:p>
          <w:p w14:paraId="0F58BDEF">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开标地点: 本项目采用“远程不见面”开标方式，不见面开标大厅地址：</w:t>
            </w:r>
            <w:r>
              <w:rPr>
                <w:rFonts w:hint="eastAsia" w:ascii="宋体" w:hAnsi="宋体" w:cs="宋体"/>
                <w:bCs/>
                <w:color w:val="auto"/>
                <w:sz w:val="24"/>
                <w:szCs w:val="24"/>
                <w:highlight w:val="none"/>
                <w:lang w:eastAsia="zh-CN"/>
              </w:rPr>
              <w:t>http://ggzy.pds.gov.cn/</w:t>
            </w:r>
            <w:r>
              <w:rPr>
                <w:rFonts w:hint="eastAsia" w:ascii="宋体" w:hAnsi="宋体" w:cs="宋体"/>
                <w:bCs/>
                <w:color w:val="auto"/>
                <w:sz w:val="24"/>
                <w:szCs w:val="24"/>
                <w:highlight w:val="none"/>
              </w:rPr>
              <w:t>，投标人无需到平顶山市公共资源交易中心现场参加开标会议，无需到达现场提交原件资料。投标人应当在投标截止时间前，登录远程开标大厅，在线准时参加开标活动并进行文件解密、答疑澄清等。各投标人应在规定时间内对本单位的投标文件现场解密，因加密电子投标文件未能成功上传或误传而导致的解密失败，投标将被拒绝。</w:t>
            </w:r>
          </w:p>
        </w:tc>
      </w:tr>
      <w:tr w14:paraId="045F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9" w:type="dxa"/>
            <w:noWrap w:val="0"/>
            <w:vAlign w:val="center"/>
          </w:tcPr>
          <w:p w14:paraId="18BC290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27</w:t>
            </w:r>
          </w:p>
        </w:tc>
        <w:tc>
          <w:tcPr>
            <w:tcW w:w="2495" w:type="dxa"/>
            <w:noWrap w:val="0"/>
            <w:vAlign w:val="center"/>
          </w:tcPr>
          <w:p w14:paraId="04A88A4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开标程序</w:t>
            </w:r>
          </w:p>
        </w:tc>
        <w:tc>
          <w:tcPr>
            <w:tcW w:w="6284" w:type="dxa"/>
            <w:noWrap w:val="0"/>
            <w:vAlign w:val="center"/>
          </w:tcPr>
          <w:p w14:paraId="0ABF3684">
            <w:pPr>
              <w:numPr>
                <w:ilvl w:val="0"/>
                <w:numId w:val="5"/>
              </w:num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本项目采用不见面开标，投标人采用网上远程异地解密。</w:t>
            </w:r>
          </w:p>
          <w:p w14:paraId="089C176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（2）电子化投标文件采用双重加密方式。开标时，首先由投标人使用CA证书，在规定时间内对其电子化投标文件进行首次解密，投标人解密完成后，再由中介服务机构使用CA证书对投标文件进行再次解密。</w:t>
            </w:r>
          </w:p>
          <w:p w14:paraId="35CEBFFF">
            <w:pPr>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（3）待所有投标人投标文件解密完成后，由中介服务机构操作，对所有已解密投标文件进行唱标。</w:t>
            </w:r>
          </w:p>
        </w:tc>
      </w:tr>
      <w:tr w14:paraId="43B4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50929F8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28</w:t>
            </w:r>
          </w:p>
        </w:tc>
        <w:tc>
          <w:tcPr>
            <w:tcW w:w="2495" w:type="dxa"/>
            <w:noWrap w:val="0"/>
            <w:vAlign w:val="center"/>
          </w:tcPr>
          <w:p w14:paraId="2550AE9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评标委员会的组建</w:t>
            </w:r>
          </w:p>
        </w:tc>
        <w:tc>
          <w:tcPr>
            <w:tcW w:w="6284" w:type="dxa"/>
            <w:noWrap w:val="0"/>
            <w:vAlign w:val="center"/>
          </w:tcPr>
          <w:p w14:paraId="2947083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评标委员会构成：</w:t>
            </w:r>
            <w:r>
              <w:rPr>
                <w:rFonts w:hint="eastAsia" w:ascii="宋体" w:hAnsi="宋体" w:cs="宋体"/>
                <w:color w:val="auto"/>
                <w:sz w:val="24"/>
                <w:szCs w:val="24"/>
                <w:highlight w:val="none"/>
                <w:lang w:val="zh-CN"/>
              </w:rPr>
              <w:t>由采购人代表及</w:t>
            </w:r>
            <w:r>
              <w:rPr>
                <w:rFonts w:hint="eastAsia" w:ascii="宋体" w:hAnsi="宋体" w:cs="宋体"/>
                <w:color w:val="auto"/>
                <w:sz w:val="24"/>
                <w:szCs w:val="24"/>
                <w:highlight w:val="none"/>
              </w:rPr>
              <w:t>相关技术、经济专家5人以上单数组成，其中评审专家不得少于成员总数的三分之二。</w:t>
            </w:r>
          </w:p>
          <w:p w14:paraId="7ACBA77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评标专家确定方式:由招标人从相关评标专家库中随机抽取。</w:t>
            </w:r>
          </w:p>
          <w:p w14:paraId="4D2C67FB">
            <w:pPr>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上述规定为一组评标专家组成方式，根据项目标段数量和评标工作量，可由多组专家完成评审，但一个标段只能由一组专家评审。</w:t>
            </w:r>
          </w:p>
          <w:p w14:paraId="7BCFF993">
            <w:pPr>
              <w:spacing w:line="360" w:lineRule="auto"/>
              <w:rPr>
                <w:rFonts w:hint="eastAsia" w:ascii="宋体" w:hAnsi="宋体" w:cs="宋体"/>
                <w:color w:val="auto"/>
                <w:highlight w:val="none"/>
                <w:lang w:val="zh-CN"/>
              </w:rPr>
            </w:pPr>
            <w:r>
              <w:rPr>
                <w:rFonts w:hint="eastAsia" w:ascii="宋体" w:hAnsi="宋体" w:cs="宋体"/>
                <w:color w:val="auto"/>
                <w:sz w:val="24"/>
                <w:szCs w:val="24"/>
                <w:highlight w:val="none"/>
                <w:lang w:val="zh-CN"/>
              </w:rPr>
              <w:t>本项目由一组专家评审。</w:t>
            </w:r>
          </w:p>
        </w:tc>
      </w:tr>
      <w:tr w14:paraId="1B66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1500A4E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29</w:t>
            </w:r>
          </w:p>
        </w:tc>
        <w:tc>
          <w:tcPr>
            <w:tcW w:w="2495" w:type="dxa"/>
            <w:noWrap w:val="0"/>
            <w:vAlign w:val="center"/>
          </w:tcPr>
          <w:p w14:paraId="2FD9652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是否授权评标委会</w:t>
            </w:r>
          </w:p>
          <w:p w14:paraId="3D59A8C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确定中标人</w:t>
            </w:r>
          </w:p>
        </w:tc>
        <w:tc>
          <w:tcPr>
            <w:tcW w:w="6284" w:type="dxa"/>
            <w:noWrap w:val="0"/>
            <w:vAlign w:val="center"/>
          </w:tcPr>
          <w:p w14:paraId="74BCD6E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□是</w:t>
            </w:r>
          </w:p>
          <w:p w14:paraId="20B2CE1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☑否，推荐的中标候选人数：推荐3名中标候选人。</w:t>
            </w:r>
          </w:p>
        </w:tc>
      </w:tr>
      <w:tr w14:paraId="59EB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39" w:type="dxa"/>
            <w:noWrap w:val="0"/>
            <w:vAlign w:val="center"/>
          </w:tcPr>
          <w:p w14:paraId="32153AD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30</w:t>
            </w:r>
          </w:p>
        </w:tc>
        <w:tc>
          <w:tcPr>
            <w:tcW w:w="2495" w:type="dxa"/>
            <w:noWrap w:val="0"/>
            <w:vAlign w:val="center"/>
          </w:tcPr>
          <w:p w14:paraId="6CC4DA72">
            <w:pPr>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284" w:type="dxa"/>
            <w:noWrap w:val="0"/>
            <w:vAlign w:val="center"/>
          </w:tcPr>
          <w:p w14:paraId="7659B58A">
            <w:pPr>
              <w:spacing w:line="360" w:lineRule="auto"/>
              <w:rPr>
                <w:rFonts w:hint="eastAsia" w:ascii="宋体" w:hAnsi="宋体" w:cs="宋体"/>
                <w:color w:val="auto"/>
                <w:sz w:val="24"/>
                <w:szCs w:val="24"/>
                <w:highlight w:val="none"/>
              </w:rPr>
            </w:pPr>
            <w:r>
              <w:rPr>
                <w:rFonts w:hint="eastAsia" w:ascii="宋体" w:hAnsi="宋体" w:eastAsia="宋体" w:cs="宋体"/>
                <w:sz w:val="21"/>
                <w:szCs w:val="21"/>
              </w:rPr>
              <w:t>90日历天（从投标截止之日算起）</w:t>
            </w:r>
          </w:p>
        </w:tc>
      </w:tr>
      <w:tr w14:paraId="431A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39" w:type="dxa"/>
            <w:noWrap w:val="0"/>
            <w:vAlign w:val="center"/>
          </w:tcPr>
          <w:p w14:paraId="3571B1C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31</w:t>
            </w:r>
          </w:p>
        </w:tc>
        <w:tc>
          <w:tcPr>
            <w:tcW w:w="2495" w:type="dxa"/>
            <w:noWrap w:val="0"/>
            <w:vAlign w:val="center"/>
          </w:tcPr>
          <w:p w14:paraId="02441E8D">
            <w:pPr>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履约担保</w:t>
            </w:r>
          </w:p>
        </w:tc>
        <w:tc>
          <w:tcPr>
            <w:tcW w:w="6284" w:type="dxa"/>
            <w:noWrap w:val="0"/>
            <w:vAlign w:val="center"/>
          </w:tcPr>
          <w:p w14:paraId="6B06734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无</w:t>
            </w:r>
          </w:p>
        </w:tc>
      </w:tr>
      <w:tr w14:paraId="7273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39" w:type="dxa"/>
            <w:noWrap w:val="0"/>
            <w:vAlign w:val="center"/>
          </w:tcPr>
          <w:p w14:paraId="72505DF4">
            <w:pPr>
              <w:spacing w:line="360" w:lineRule="auto"/>
              <w:jc w:val="center"/>
              <w:rPr>
                <w:rFonts w:ascii="宋体" w:hAnsi="宋体" w:cs="宋体"/>
                <w:color w:val="auto"/>
                <w:sz w:val="24"/>
                <w:szCs w:val="24"/>
                <w:highlight w:val="none"/>
              </w:rPr>
            </w:pPr>
            <w:bookmarkStart w:id="36" w:name="_Toc6323"/>
            <w:bookmarkStart w:id="37" w:name="_Toc28385"/>
            <w:bookmarkStart w:id="38" w:name="_Toc291089182"/>
            <w:bookmarkStart w:id="39" w:name="_Toc13442"/>
            <w:bookmarkStart w:id="40" w:name="_Toc31618"/>
            <w:r>
              <w:rPr>
                <w:rFonts w:hint="eastAsia" w:ascii="宋体" w:hAnsi="宋体" w:cs="宋体"/>
                <w:color w:val="auto"/>
                <w:sz w:val="24"/>
                <w:szCs w:val="24"/>
                <w:highlight w:val="none"/>
              </w:rPr>
              <w:t>32</w:t>
            </w:r>
          </w:p>
        </w:tc>
        <w:tc>
          <w:tcPr>
            <w:tcW w:w="2495" w:type="dxa"/>
            <w:noWrap w:val="0"/>
            <w:vAlign w:val="center"/>
          </w:tcPr>
          <w:p w14:paraId="60340A74">
            <w:pPr>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政采领域优化营商环境相关政策</w:t>
            </w:r>
          </w:p>
          <w:p w14:paraId="1E61CD64">
            <w:pPr>
              <w:spacing w:line="360" w:lineRule="auto"/>
              <w:jc w:val="center"/>
              <w:rPr>
                <w:rFonts w:hint="eastAsia" w:ascii="宋体" w:hAnsi="宋体" w:cs="宋体"/>
                <w:bCs/>
                <w:color w:val="auto"/>
                <w:sz w:val="24"/>
                <w:szCs w:val="24"/>
                <w:highlight w:val="none"/>
              </w:rPr>
            </w:pPr>
          </w:p>
        </w:tc>
        <w:tc>
          <w:tcPr>
            <w:tcW w:w="6284" w:type="dxa"/>
            <w:noWrap w:val="0"/>
            <w:vAlign w:val="center"/>
          </w:tcPr>
          <w:p w14:paraId="7FB6D746">
            <w:pPr>
              <w:spacing w:line="360" w:lineRule="auto"/>
              <w:ind w:left="105" w:leftChars="5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一、落实四个“一日办”精神：</w:t>
            </w:r>
          </w:p>
          <w:p w14:paraId="22F917F0">
            <w:pPr>
              <w:spacing w:line="360" w:lineRule="auto"/>
              <w:ind w:left="105" w:leftChars="50"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按照《平顶山市财政局关于压减政府采购各环节时限 进一步优化政府采购营商环境的通知》（平财购〔2021〕34号）通知，落实四个“一日办”精神：</w:t>
            </w:r>
          </w:p>
          <w:p w14:paraId="6504C41B">
            <w:pPr>
              <w:spacing w:line="360" w:lineRule="auto"/>
              <w:ind w:left="105" w:leftChars="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（1）在评审结束后1日内确定采购结果，同时对中标单位发出中标或成交通知书，并在网上进行公告；</w:t>
            </w:r>
          </w:p>
          <w:p w14:paraId="01BA0ED3">
            <w:pPr>
              <w:spacing w:line="360" w:lineRule="auto"/>
              <w:ind w:left="105" w:leftChars="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（2）中标或成交通知书发出后，1日内与中标或成交供应商签订合同，合同签订当日完成合同备案工作；</w:t>
            </w:r>
          </w:p>
          <w:p w14:paraId="487424D9">
            <w:pPr>
              <w:spacing w:line="360" w:lineRule="auto"/>
              <w:ind w:left="105" w:leftChars="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（3）政府采购项目供应商履约完成后，采购人应在供应商提出验收申请1个工作日内完成验收，同时在平顶山市政府采购网发布验收结果公告；</w:t>
            </w:r>
          </w:p>
          <w:p w14:paraId="712A659E">
            <w:pPr>
              <w:spacing w:line="360" w:lineRule="auto"/>
              <w:ind w:left="105" w:leftChars="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（4）验收合格具备付款条件的项目，采购人要在1个工作日内按照合同约定支付项目资金。</w:t>
            </w:r>
          </w:p>
          <w:p w14:paraId="378D855B">
            <w:pPr>
              <w:spacing w:line="360" w:lineRule="auto"/>
              <w:ind w:left="105" w:leftChars="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注：合同签订方式：在平顶山市公共资源交易中心平台在线办理。</w:t>
            </w:r>
          </w:p>
          <w:p w14:paraId="4F611BD9">
            <w:pPr>
              <w:spacing w:line="360" w:lineRule="auto"/>
              <w:ind w:left="105" w:leftChars="5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二、维护企业在政府采购活动中的知情权</w:t>
            </w:r>
          </w:p>
          <w:p w14:paraId="224F0C9D">
            <w:pPr>
              <w:spacing w:line="360" w:lineRule="auto"/>
              <w:ind w:left="105" w:leftChars="50"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60C34CC4">
            <w:pPr>
              <w:spacing w:line="360" w:lineRule="auto"/>
              <w:ind w:left="105" w:leftChars="5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三、提供中小企业声明函格式</w:t>
            </w:r>
          </w:p>
          <w:p w14:paraId="0143AD68">
            <w:pPr>
              <w:pStyle w:val="20"/>
              <w:ind w:left="105" w:leftChars="50" w:firstLine="48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在采购文件中，采购代理机构应按照财政部、工信部印发的《政府采购促进中小企业发展管理办法》的通知精神（财库〔2020〕46号）提供中小企业声明函格式。</w:t>
            </w:r>
          </w:p>
          <w:p w14:paraId="65786EFE">
            <w:pPr>
              <w:pStyle w:val="20"/>
              <w:ind w:left="105" w:leftChars="50" w:firstLine="48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根据《政府采购促进中小企业发展管理办法》（财库〔2020〕46号）第四条：在政府采购活动中，供应商提供的货物、工程或者服务符合下列情形的，享受本办法规定的中小企业扶持政策：</w:t>
            </w:r>
          </w:p>
          <w:p w14:paraId="4A0A468E">
            <w:pPr>
              <w:pStyle w:val="20"/>
              <w:ind w:left="105" w:leftChars="50" w:firstLine="48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（一）在货物采购项目中，货物由中小企业制造，即货物由中小企业生产且使用该中小企业商号或者注册商标；</w:t>
            </w:r>
          </w:p>
          <w:p w14:paraId="41E2417E">
            <w:pPr>
              <w:pStyle w:val="20"/>
              <w:ind w:left="105" w:leftChars="50" w:firstLine="48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（二）在工程采购项目中，工程由中小企业承建，即工程施工单位为中小企业；</w:t>
            </w:r>
          </w:p>
          <w:p w14:paraId="496CD5ED">
            <w:pPr>
              <w:pStyle w:val="20"/>
              <w:ind w:left="105" w:leftChars="50" w:firstLine="48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（三）在服务采购项目中，服务由中小企业承接，即提供服务的人员为中小企业依照《中华人民共和国劳动合同法》订立劳动合同的从业人员。</w:t>
            </w:r>
          </w:p>
          <w:p w14:paraId="17F1C64C">
            <w:pPr>
              <w:pStyle w:val="20"/>
              <w:ind w:left="105" w:leftChars="50" w:firstLine="48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在货物采购项目中，供应商提供的货物既有中小企业制造货物，也有大型企业制造货物的，不享受本办法规定的中小企业扶持政策。</w:t>
            </w:r>
          </w:p>
          <w:p w14:paraId="119E6806">
            <w:pPr>
              <w:pStyle w:val="20"/>
              <w:ind w:left="105" w:leftChars="50" w:firstLine="48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0F6BA455">
            <w:pPr>
              <w:spacing w:line="360" w:lineRule="auto"/>
              <w:ind w:left="105" w:leftChars="5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四、推广政府采购合同融资</w:t>
            </w:r>
          </w:p>
          <w:p w14:paraId="56CD941A">
            <w:pPr>
              <w:pStyle w:val="20"/>
              <w:ind w:left="105" w:leftChars="50" w:firstLine="48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要求采购人和代理机构将“政府采购合同融资告知函”写入招标文件，鼓励中标供应商凭借采购合同申请贷款，助力解决中小企业融资难、融资贵的问题。</w:t>
            </w:r>
          </w:p>
          <w:p w14:paraId="327027FD">
            <w:pPr>
              <w:numPr>
                <w:ilvl w:val="0"/>
                <w:numId w:val="6"/>
              </w:numPr>
              <w:spacing w:line="360" w:lineRule="auto"/>
              <w:ind w:left="105" w:leftChars="5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落实预留采购份额：</w:t>
            </w:r>
          </w:p>
          <w:p w14:paraId="7631F1D5">
            <w:pPr>
              <w:pStyle w:val="20"/>
              <w:ind w:left="105" w:leftChars="50"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2D1D0564">
            <w:pPr>
              <w:numPr>
                <w:ilvl w:val="0"/>
                <w:numId w:val="6"/>
              </w:numPr>
              <w:spacing w:line="360" w:lineRule="auto"/>
              <w:ind w:left="105" w:leftChars="5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落实价格评审优惠政策：</w:t>
            </w:r>
          </w:p>
          <w:p w14:paraId="113D3B3A">
            <w:pPr>
              <w:spacing w:line="360" w:lineRule="auto"/>
              <w:ind w:left="105" w:leftChars="50" w:firstLine="240" w:firstLineChars="100"/>
              <w:jc w:val="left"/>
              <w:rPr>
                <w:rFonts w:hint="eastAsia" w:ascii="宋体" w:hAnsi="宋体" w:cs="宋体"/>
                <w:color w:val="auto"/>
                <w:sz w:val="24"/>
                <w:szCs w:val="24"/>
                <w:highlight w:val="none"/>
              </w:rPr>
            </w:pPr>
            <w:r>
              <w:rPr>
                <w:rFonts w:hint="eastAsia" w:ascii="宋体" w:hAnsi="宋体" w:cs="宋体"/>
                <w:bCs/>
                <w:color w:val="auto"/>
                <w:sz w:val="24"/>
                <w:szCs w:val="24"/>
                <w:highlight w:val="none"/>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w:t>
            </w:r>
            <w:r>
              <w:rPr>
                <w:rFonts w:hint="eastAsia" w:ascii="宋体" w:hAnsi="宋体" w:cs="宋体"/>
                <w:color w:val="auto"/>
                <w:sz w:val="24"/>
                <w:szCs w:val="24"/>
                <w:highlight w:val="none"/>
              </w:rPr>
              <w:t>上述政策应当在评审办法中注明确定值。</w:t>
            </w:r>
          </w:p>
          <w:p w14:paraId="2321D6DD">
            <w:pPr>
              <w:numPr>
                <w:ilvl w:val="0"/>
                <w:numId w:val="0"/>
              </w:num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、四方信用评价</w:t>
            </w:r>
          </w:p>
          <w:p w14:paraId="7B499219">
            <w:pPr>
              <w:spacing w:line="360" w:lineRule="auto"/>
              <w:ind w:left="105" w:leftChars="50"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平顶山市政府采购项目已实行四方信用评价功能，各方主体请登录“平顶山市政府采购网”按照评价要求进行客观公正的评价。</w:t>
            </w:r>
          </w:p>
          <w:p w14:paraId="205F4F64">
            <w:pPr>
              <w:spacing w:line="360" w:lineRule="auto"/>
              <w:ind w:left="105" w:leftChars="50"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1.采购人评价指标</w:t>
            </w:r>
          </w:p>
          <w:p w14:paraId="028663F7">
            <w:pPr>
              <w:spacing w:line="360" w:lineRule="auto"/>
              <w:ind w:left="105" w:leftChars="50"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评价主体:中标、成交供应商。</w:t>
            </w:r>
          </w:p>
          <w:p w14:paraId="4606A559">
            <w:pPr>
              <w:spacing w:line="360" w:lineRule="auto"/>
              <w:ind w:left="105" w:leftChars="50"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评价节点:合同履约完成后。</w:t>
            </w:r>
          </w:p>
          <w:p w14:paraId="6D8D443C">
            <w:pPr>
              <w:spacing w:line="360" w:lineRule="auto"/>
              <w:ind w:left="105" w:leftChars="50"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2.对中标、成交供应商评价指标</w:t>
            </w:r>
          </w:p>
          <w:p w14:paraId="39681D34">
            <w:pPr>
              <w:spacing w:line="360" w:lineRule="auto"/>
              <w:ind w:left="105" w:leftChars="50"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评价主体为:采购人。</w:t>
            </w:r>
          </w:p>
          <w:p w14:paraId="03C0F885">
            <w:pPr>
              <w:spacing w:line="360" w:lineRule="auto"/>
              <w:ind w:left="105" w:leftChars="50"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评价节点:合同履约完成后。</w:t>
            </w:r>
          </w:p>
          <w:p w14:paraId="40986FE2">
            <w:pPr>
              <w:spacing w:line="360" w:lineRule="auto"/>
              <w:ind w:left="105" w:leftChars="50"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3.评审专家评价指标</w:t>
            </w:r>
          </w:p>
          <w:p w14:paraId="268F3401">
            <w:pPr>
              <w:spacing w:line="360" w:lineRule="auto"/>
              <w:ind w:left="105" w:leftChars="50"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评价主体为:采购人、代理机构。</w:t>
            </w:r>
          </w:p>
          <w:p w14:paraId="2C68D01C">
            <w:pPr>
              <w:spacing w:line="360" w:lineRule="auto"/>
              <w:ind w:left="105" w:leftChars="50"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评价节点:项目评审结束后。</w:t>
            </w:r>
          </w:p>
          <w:p w14:paraId="48B84603">
            <w:pPr>
              <w:spacing w:line="360" w:lineRule="auto"/>
              <w:ind w:left="105" w:leftChars="50"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4.代理机构评价指标</w:t>
            </w:r>
          </w:p>
          <w:p w14:paraId="7A2E84C5">
            <w:pPr>
              <w:spacing w:line="360" w:lineRule="auto"/>
              <w:ind w:left="105" w:leftChars="50"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评价主体为:采购人、评审专家、供应商。</w:t>
            </w:r>
          </w:p>
          <w:p w14:paraId="7437757D">
            <w:pPr>
              <w:spacing w:line="360" w:lineRule="auto"/>
              <w:ind w:left="105" w:leftChars="50" w:firstLine="240" w:firstLineChars="100"/>
              <w:jc w:val="left"/>
              <w:rPr>
                <w:rFonts w:hint="eastAsia" w:ascii="宋体" w:hAnsi="宋体" w:cs="宋体"/>
                <w:color w:val="auto"/>
                <w:sz w:val="24"/>
                <w:szCs w:val="24"/>
                <w:highlight w:val="none"/>
              </w:rPr>
            </w:pPr>
            <w:r>
              <w:rPr>
                <w:rFonts w:hint="eastAsia" w:ascii="宋体" w:hAnsi="宋体" w:eastAsia="宋体" w:cs="宋体"/>
                <w:bCs/>
                <w:color w:val="auto"/>
                <w:sz w:val="24"/>
                <w:szCs w:val="24"/>
                <w:highlight w:val="none"/>
              </w:rPr>
              <w:t>评价节点:项目评审结束后。</w:t>
            </w:r>
          </w:p>
        </w:tc>
      </w:tr>
      <w:tr w14:paraId="51A0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9" w:type="dxa"/>
            <w:noWrap w:val="0"/>
            <w:vAlign w:val="center"/>
          </w:tcPr>
          <w:p w14:paraId="02A906F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33</w:t>
            </w:r>
          </w:p>
        </w:tc>
        <w:tc>
          <w:tcPr>
            <w:tcW w:w="2495" w:type="dxa"/>
            <w:noWrap w:val="0"/>
            <w:vAlign w:val="center"/>
          </w:tcPr>
          <w:p w14:paraId="6F9ABB95">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其他</w:t>
            </w:r>
          </w:p>
        </w:tc>
        <w:tc>
          <w:tcPr>
            <w:tcW w:w="6284" w:type="dxa"/>
            <w:noWrap w:val="0"/>
            <w:vAlign w:val="center"/>
          </w:tcPr>
          <w:p w14:paraId="18A5EC1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1.本项目采购人设最高投标限价，超过最高投标限价的其投标将被否决。 </w:t>
            </w:r>
          </w:p>
          <w:p w14:paraId="7D54C625">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2.本项目服务费由中标单位支付，收费标准河南省招标投标协会关于印发《河南省招标代理服务收费指导意见》的通知（豫招协【2023】002号）规定的</w:t>
            </w:r>
            <w:r>
              <w:rPr>
                <w:rFonts w:hint="eastAsia" w:ascii="宋体" w:hAnsi="宋体" w:cs="宋体"/>
                <w:color w:val="auto"/>
                <w:sz w:val="24"/>
                <w:szCs w:val="24"/>
                <w:highlight w:val="none"/>
                <w:lang w:val="zh-CN"/>
              </w:rPr>
              <w:t>《河南省招标代理服务收费计算标准》向中标</w:t>
            </w:r>
            <w:r>
              <w:rPr>
                <w:rFonts w:hint="eastAsia" w:ascii="宋体" w:hAnsi="宋体" w:cs="宋体"/>
                <w:color w:val="auto"/>
                <w:sz w:val="24"/>
                <w:szCs w:val="24"/>
                <w:highlight w:val="none"/>
                <w:lang w:val="en-US" w:eastAsia="zh-CN"/>
              </w:rPr>
              <w:t>每</w:t>
            </w:r>
            <w:r>
              <w:rPr>
                <w:rFonts w:hint="eastAsia" w:ascii="宋体" w:hAnsi="宋体" w:cs="宋体"/>
                <w:color w:val="auto"/>
                <w:sz w:val="24"/>
                <w:szCs w:val="24"/>
                <w:highlight w:val="none"/>
                <w:lang w:val="zh-CN"/>
              </w:rPr>
              <w:t>单位收取</w:t>
            </w:r>
            <w:r>
              <w:rPr>
                <w:rFonts w:hint="eastAsia" w:ascii="宋体" w:hAnsi="宋体" w:cs="宋体"/>
                <w:color w:val="auto"/>
                <w:sz w:val="24"/>
                <w:szCs w:val="24"/>
                <w:highlight w:val="none"/>
                <w:lang w:val="en-US" w:eastAsia="zh-CN"/>
              </w:rPr>
              <w:t>27500</w:t>
            </w:r>
            <w:r>
              <w:rPr>
                <w:rFonts w:hint="eastAsia" w:ascii="宋体" w:hAnsi="宋体" w:cs="宋体"/>
                <w:color w:val="auto"/>
                <w:sz w:val="24"/>
                <w:szCs w:val="24"/>
                <w:highlight w:val="none"/>
              </w:rPr>
              <w:t>.00元，由中标单位领取《中标通知书》时支付。</w:t>
            </w:r>
          </w:p>
          <w:p w14:paraId="2B9681A3">
            <w:pPr>
              <w:keepNext w:val="0"/>
              <w:keepLines w:val="0"/>
              <w:pageBreakBefore w:val="0"/>
              <w:kinsoku/>
              <w:wordWrap/>
              <w:overflowPunct/>
              <w:topLinePunct w:val="0"/>
              <w:bidi w:val="0"/>
              <w:spacing w:line="360" w:lineRule="auto"/>
              <w:textAlignment w:val="auto"/>
              <w:rPr>
                <w:rFonts w:hint="eastAsia" w:ascii="宋体" w:hAnsi="宋体" w:eastAsia="宋体" w:cs="宋体"/>
                <w:b w:val="0"/>
                <w:bCs w:val="0"/>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付款方式：</w:t>
            </w:r>
            <w:r>
              <w:rPr>
                <w:rFonts w:hint="eastAsia"/>
                <w:kern w:val="0"/>
                <w:highlight w:val="none"/>
              </w:rPr>
              <w:t>一次性支付。本项目竣工验收合格后</w:t>
            </w:r>
            <w:r>
              <w:rPr>
                <w:rFonts w:hint="eastAsia"/>
                <w:kern w:val="0"/>
                <w:highlight w:val="none"/>
                <w:lang w:eastAsia="zh-CN"/>
              </w:rPr>
              <w:t>，待县财政部门将项目款拨付至甲方账户之日起</w:t>
            </w:r>
            <w:r>
              <w:rPr>
                <w:rFonts w:hint="eastAsia"/>
                <w:kern w:val="0"/>
                <w:highlight w:val="none"/>
                <w:lang w:val="en-US" w:eastAsia="zh-CN"/>
              </w:rPr>
              <w:t>30个</w:t>
            </w:r>
            <w:r>
              <w:rPr>
                <w:rFonts w:hint="eastAsia"/>
                <w:kern w:val="0"/>
                <w:highlight w:val="none"/>
              </w:rPr>
              <w:t>工作日内向乙方付清项目价款</w:t>
            </w:r>
            <w:r>
              <w:rPr>
                <w:rFonts w:hint="eastAsia"/>
                <w:kern w:val="0"/>
                <w:highlight w:val="none"/>
                <w:lang w:eastAsia="zh-CN"/>
              </w:rPr>
              <w:t>。</w:t>
            </w:r>
          </w:p>
          <w:p w14:paraId="32A80F88">
            <w:pPr>
              <w:keepNext w:val="0"/>
              <w:keepLines w:val="0"/>
              <w:widowControl/>
              <w:suppressLineNumbers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4.本项目对应的中小企业划分标准所属行业：其他未列明行业。</w:t>
            </w:r>
          </w:p>
          <w:p w14:paraId="20BBCF07">
            <w:pPr>
              <w:spacing w:line="360" w:lineRule="auto"/>
              <w:jc w:val="lef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val="0"/>
                <w:bCs/>
                <w:color w:val="auto"/>
                <w:kern w:val="0"/>
                <w:sz w:val="24"/>
                <w:szCs w:val="24"/>
                <w:highlight w:val="none"/>
              </w:rPr>
              <w:t>解释权</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color w:val="auto"/>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负责解释。</w:t>
            </w:r>
          </w:p>
        </w:tc>
      </w:tr>
    </w:tbl>
    <w:p w14:paraId="593CADF5">
      <w:pPr>
        <w:pStyle w:val="4"/>
        <w:numPr>
          <w:ilvl w:val="0"/>
          <w:numId w:val="0"/>
        </w:numPr>
        <w:spacing w:before="0" w:after="0" w:line="360" w:lineRule="auto"/>
        <w:jc w:val="left"/>
        <w:rPr>
          <w:rFonts w:hint="eastAsia" w:ascii="宋体" w:hAnsi="宋体" w:eastAsia="宋体" w:cs="宋体"/>
          <w:b/>
          <w:bCs/>
          <w:color w:val="auto"/>
          <w:sz w:val="24"/>
          <w:szCs w:val="24"/>
          <w:highlight w:val="none"/>
        </w:rPr>
      </w:pPr>
      <w:bookmarkStart w:id="41" w:name="_Toc10442"/>
      <w:r>
        <w:rPr>
          <w:rFonts w:hint="eastAsia" w:ascii="宋体" w:hAnsi="宋体" w:eastAsia="宋体" w:cs="宋体"/>
          <w:b/>
          <w:bCs/>
          <w:color w:val="auto"/>
          <w:sz w:val="24"/>
          <w:szCs w:val="24"/>
          <w:highlight w:val="none"/>
        </w:rPr>
        <w:t>1.总则</w:t>
      </w:r>
      <w:bookmarkEnd w:id="36"/>
      <w:bookmarkEnd w:id="37"/>
      <w:bookmarkEnd w:id="38"/>
      <w:bookmarkEnd w:id="39"/>
      <w:bookmarkEnd w:id="40"/>
      <w:bookmarkEnd w:id="41"/>
    </w:p>
    <w:p w14:paraId="549D6A34">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42" w:name="_Toc247639840"/>
      <w:bookmarkStart w:id="43" w:name="_Toc291089183"/>
      <w:bookmarkStart w:id="44" w:name="_Toc8644"/>
      <w:bookmarkStart w:id="45" w:name="_Toc9037"/>
      <w:bookmarkStart w:id="46" w:name="_Toc19860"/>
      <w:bookmarkStart w:id="47" w:name="_Toc12224"/>
      <w:bookmarkStart w:id="48" w:name="_Toc26414"/>
      <w:bookmarkStart w:id="49" w:name="_Toc14346"/>
      <w:bookmarkStart w:id="50" w:name="_Toc9871"/>
      <w:r>
        <w:rPr>
          <w:rFonts w:hint="eastAsia" w:ascii="宋体" w:hAnsi="宋体" w:eastAsia="宋体" w:cs="宋体"/>
          <w:b/>
          <w:bCs/>
          <w:color w:val="auto"/>
          <w:sz w:val="24"/>
          <w:szCs w:val="24"/>
          <w:highlight w:val="none"/>
        </w:rPr>
        <w:t>1.1 项目概况</w:t>
      </w:r>
      <w:bookmarkEnd w:id="42"/>
      <w:bookmarkEnd w:id="43"/>
      <w:bookmarkEnd w:id="44"/>
      <w:bookmarkEnd w:id="45"/>
      <w:bookmarkEnd w:id="46"/>
      <w:bookmarkEnd w:id="47"/>
      <w:bookmarkEnd w:id="48"/>
      <w:bookmarkEnd w:id="49"/>
      <w:bookmarkEnd w:id="50"/>
    </w:p>
    <w:p w14:paraId="3B70F18B">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1.1.1 根据《中华人民共和国政府采购法》、《中华人民共和国政府采购法实施条例》等有关法律、法规和规章的规定，本招标项目已具备招标条件，现对本项目进行招标。</w:t>
      </w:r>
    </w:p>
    <w:p w14:paraId="3F168F7E">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1.1.2 本招标项目采购人：</w:t>
      </w:r>
      <w:r>
        <w:rPr>
          <w:rFonts w:hint="eastAsia" w:ascii="宋体" w:hAnsi="宋体" w:cs="宋体"/>
          <w:color w:val="auto"/>
          <w:kern w:val="0"/>
          <w:sz w:val="24"/>
          <w:szCs w:val="24"/>
          <w:highlight w:val="none"/>
          <w:lang w:eastAsia="zh-CN"/>
        </w:rPr>
        <w:t>鲁山县城市管理局</w:t>
      </w:r>
      <w:r>
        <w:rPr>
          <w:rFonts w:hint="eastAsia" w:ascii="宋体" w:hAnsi="宋体" w:cs="宋体"/>
          <w:color w:val="auto"/>
          <w:kern w:val="0"/>
          <w:sz w:val="24"/>
          <w:szCs w:val="24"/>
          <w:highlight w:val="none"/>
        </w:rPr>
        <w:t>。</w:t>
      </w:r>
    </w:p>
    <w:p w14:paraId="2EAD8014">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1.1.3 本招标项目采购代理机构：</w:t>
      </w:r>
      <w:r>
        <w:rPr>
          <w:rFonts w:hint="eastAsia" w:ascii="宋体" w:hAnsi="宋体" w:cs="宋体"/>
          <w:color w:val="auto"/>
          <w:sz w:val="24"/>
          <w:szCs w:val="24"/>
          <w:highlight w:val="none"/>
          <w:lang w:eastAsia="zh-CN"/>
        </w:rPr>
        <w:t>河南省亿达工程管理咨询有限公司</w:t>
      </w:r>
      <w:r>
        <w:rPr>
          <w:rFonts w:hint="eastAsia" w:ascii="宋体" w:hAnsi="宋体" w:cs="宋体"/>
          <w:color w:val="auto"/>
          <w:sz w:val="24"/>
          <w:szCs w:val="24"/>
          <w:highlight w:val="none"/>
        </w:rPr>
        <w:t xml:space="preserve"> 。</w:t>
      </w:r>
    </w:p>
    <w:p w14:paraId="3200019B">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1.1.4 本招标项目名称：</w:t>
      </w:r>
      <w:r>
        <w:rPr>
          <w:rFonts w:hint="eastAsia" w:ascii="宋体" w:hAnsi="宋体" w:cs="宋体"/>
          <w:color w:val="auto"/>
          <w:sz w:val="24"/>
          <w:szCs w:val="24"/>
          <w:highlight w:val="none"/>
          <w:lang w:eastAsia="zh-CN"/>
        </w:rPr>
        <w:t>鲁山县城市管理局鲁山县数字城管系统升级改造项目</w:t>
      </w:r>
      <w:r>
        <w:rPr>
          <w:rFonts w:hint="eastAsia" w:ascii="宋体" w:hAnsi="宋体" w:cs="宋体"/>
          <w:color w:val="auto"/>
          <w:kern w:val="0"/>
          <w:sz w:val="24"/>
          <w:szCs w:val="24"/>
          <w:highlight w:val="none"/>
        </w:rPr>
        <w:t>。</w:t>
      </w:r>
    </w:p>
    <w:p w14:paraId="0D617110">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1.1.5 本招标项目标包的资金来源及落实情况：</w:t>
      </w:r>
      <w:r>
        <w:rPr>
          <w:rFonts w:hint="eastAsia" w:ascii="宋体" w:hAnsi="宋体" w:cs="宋体"/>
          <w:color w:val="auto"/>
          <w:sz w:val="24"/>
          <w:szCs w:val="24"/>
          <w:highlight w:val="none"/>
          <w:lang w:eastAsia="zh-CN"/>
        </w:rPr>
        <w:t>财政资金</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1913800</w:t>
      </w:r>
      <w:r>
        <w:rPr>
          <w:rFonts w:hint="eastAsia" w:ascii="宋体" w:hAnsi="宋体" w:cs="宋体"/>
          <w:color w:val="auto"/>
          <w:sz w:val="24"/>
          <w:szCs w:val="24"/>
          <w:highlight w:val="none"/>
        </w:rPr>
        <w:t>.00</w:t>
      </w:r>
      <w:r>
        <w:rPr>
          <w:rFonts w:hint="eastAsia" w:ascii="宋体" w:hAnsi="宋体" w:cs="宋体"/>
          <w:color w:val="auto"/>
          <w:spacing w:val="4"/>
          <w:sz w:val="24"/>
          <w:szCs w:val="24"/>
          <w:highlight w:val="none"/>
        </w:rPr>
        <w:t>元,已落实</w:t>
      </w:r>
      <w:r>
        <w:rPr>
          <w:rFonts w:hint="eastAsia" w:ascii="宋体" w:hAnsi="宋体" w:cs="宋体"/>
          <w:color w:val="auto"/>
          <w:kern w:val="0"/>
          <w:sz w:val="24"/>
          <w:szCs w:val="24"/>
          <w:highlight w:val="none"/>
        </w:rPr>
        <w:t>。</w:t>
      </w:r>
    </w:p>
    <w:p w14:paraId="28894AA1">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51" w:name="_Toc24873"/>
      <w:bookmarkStart w:id="52" w:name="_Toc14695"/>
      <w:bookmarkStart w:id="53" w:name="_Toc15710"/>
      <w:bookmarkStart w:id="54" w:name="_Toc291089185"/>
      <w:bookmarkStart w:id="55" w:name="_Toc6855"/>
      <w:bookmarkStart w:id="56" w:name="_Toc247639842"/>
      <w:bookmarkStart w:id="57" w:name="_Toc18535"/>
      <w:bookmarkStart w:id="58" w:name="_Toc12593"/>
      <w:bookmarkStart w:id="59" w:name="_Toc31224"/>
      <w:r>
        <w:rPr>
          <w:rFonts w:hint="eastAsia" w:ascii="宋体" w:hAnsi="宋体" w:eastAsia="宋体" w:cs="宋体"/>
          <w:b/>
          <w:bCs/>
          <w:color w:val="auto"/>
          <w:sz w:val="24"/>
          <w:szCs w:val="24"/>
          <w:highlight w:val="none"/>
        </w:rPr>
        <w:t xml:space="preserve">1.2 </w:t>
      </w:r>
      <w:r>
        <w:rPr>
          <w:rFonts w:hint="eastAsia" w:ascii="宋体" w:hAnsi="宋体" w:eastAsia="宋体" w:cs="宋体"/>
          <w:b/>
          <w:bCs/>
          <w:color w:val="auto"/>
          <w:sz w:val="24"/>
          <w:szCs w:val="24"/>
          <w:highlight w:val="none"/>
          <w:lang w:eastAsia="zh-CN"/>
        </w:rPr>
        <w:t>招标范围</w:t>
      </w:r>
      <w:r>
        <w:rPr>
          <w:rFonts w:hint="eastAsia" w:ascii="宋体" w:hAnsi="宋体" w:eastAsia="宋体" w:cs="宋体"/>
          <w:b/>
          <w:bCs/>
          <w:color w:val="auto"/>
          <w:sz w:val="24"/>
          <w:szCs w:val="24"/>
          <w:highlight w:val="none"/>
        </w:rPr>
        <w:t>、</w:t>
      </w:r>
      <w:bookmarkEnd w:id="51"/>
      <w:bookmarkEnd w:id="52"/>
      <w:bookmarkEnd w:id="53"/>
      <w:bookmarkEnd w:id="54"/>
      <w:bookmarkEnd w:id="55"/>
      <w:bookmarkEnd w:id="56"/>
      <w:r>
        <w:rPr>
          <w:rFonts w:hint="eastAsia" w:ascii="宋体" w:hAnsi="宋体" w:eastAsia="宋体" w:cs="宋体"/>
          <w:b/>
          <w:bCs/>
          <w:color w:val="auto"/>
          <w:sz w:val="24"/>
          <w:szCs w:val="24"/>
          <w:highlight w:val="none"/>
          <w:lang w:eastAsia="zh-CN"/>
        </w:rPr>
        <w:t>质量要求、服务周期及</w:t>
      </w:r>
      <w:bookmarkEnd w:id="57"/>
      <w:bookmarkEnd w:id="58"/>
      <w:bookmarkEnd w:id="59"/>
      <w:r>
        <w:rPr>
          <w:rFonts w:hint="eastAsia" w:ascii="宋体" w:hAnsi="宋体" w:eastAsia="宋体" w:cs="宋体"/>
          <w:b/>
          <w:bCs/>
          <w:color w:val="auto"/>
          <w:sz w:val="24"/>
          <w:szCs w:val="24"/>
          <w:highlight w:val="none"/>
          <w:lang w:eastAsia="zh-CN"/>
        </w:rPr>
        <w:t>项目地点等</w:t>
      </w:r>
    </w:p>
    <w:p w14:paraId="205ED07F">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1.2.1本次招标范围：</w:t>
      </w:r>
      <w:r>
        <w:rPr>
          <w:rFonts w:hint="eastAsia" w:ascii="宋体" w:hAnsi="宋体" w:cs="宋体"/>
          <w:color w:val="auto"/>
          <w:kern w:val="0"/>
          <w:sz w:val="24"/>
          <w:highlight w:val="none"/>
        </w:rPr>
        <w:t>见第五章</w:t>
      </w:r>
      <w:r>
        <w:rPr>
          <w:rFonts w:hint="eastAsia" w:ascii="宋体" w:hAnsi="宋体" w:cs="宋体"/>
          <w:color w:val="auto"/>
          <w:kern w:val="0"/>
          <w:sz w:val="24"/>
          <w:szCs w:val="24"/>
          <w:highlight w:val="none"/>
        </w:rPr>
        <w:t>。</w:t>
      </w:r>
    </w:p>
    <w:p w14:paraId="513B6BC1">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1.2.2本项目服务标准：</w:t>
      </w:r>
      <w:r>
        <w:rPr>
          <w:rFonts w:hint="eastAsia" w:ascii="宋体" w:hAnsi="宋体" w:cs="宋体"/>
          <w:color w:val="auto"/>
          <w:sz w:val="24"/>
          <w:szCs w:val="24"/>
          <w:highlight w:val="none"/>
        </w:rPr>
        <w:t>见投标人须知前附表。</w:t>
      </w:r>
    </w:p>
    <w:p w14:paraId="6528098E">
      <w:pPr>
        <w:pStyle w:val="21"/>
        <w:spacing w:line="360" w:lineRule="auto"/>
        <w:ind w:left="0" w:leftChars="0" w:firstLine="48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1.2.3</w:t>
      </w: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eastAsia="zh-CN"/>
        </w:rPr>
        <w:t>服务期限</w:t>
      </w:r>
      <w:r>
        <w:rPr>
          <w:rFonts w:hint="eastAsia" w:ascii="宋体" w:hAnsi="宋体" w:cs="宋体"/>
          <w:color w:val="auto"/>
          <w:sz w:val="24"/>
          <w:szCs w:val="24"/>
          <w:highlight w:val="none"/>
        </w:rPr>
        <w:t>：</w:t>
      </w:r>
      <w:r>
        <w:rPr>
          <w:rFonts w:hint="eastAsia" w:ascii="宋体" w:hAnsi="宋体" w:cs="宋体"/>
          <w:color w:val="auto"/>
          <w:kern w:val="2"/>
          <w:sz w:val="24"/>
          <w:szCs w:val="24"/>
          <w:highlight w:val="none"/>
          <w:lang w:val="en-US" w:eastAsia="zh-CN"/>
        </w:rPr>
        <w:t>见投标人须知前附表。</w:t>
      </w:r>
    </w:p>
    <w:p w14:paraId="28D3F158">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1.2.4 本项目的项目地点：</w:t>
      </w:r>
      <w:r>
        <w:rPr>
          <w:rFonts w:hint="eastAsia" w:ascii="宋体" w:hAnsi="宋体" w:cs="宋体"/>
          <w:color w:val="auto"/>
          <w:sz w:val="24"/>
          <w:szCs w:val="24"/>
          <w:highlight w:val="none"/>
        </w:rPr>
        <w:t>见投标人须知前附表。</w:t>
      </w:r>
    </w:p>
    <w:p w14:paraId="6DF511F8">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1.2.5 </w:t>
      </w:r>
      <w:r>
        <w:rPr>
          <w:rFonts w:hint="eastAsia" w:ascii="宋体" w:hAnsi="宋体" w:cs="宋体"/>
          <w:color w:val="auto"/>
          <w:sz w:val="24"/>
          <w:szCs w:val="24"/>
          <w:highlight w:val="none"/>
        </w:rPr>
        <w:t>费用承担：</w:t>
      </w:r>
      <w:r>
        <w:rPr>
          <w:rFonts w:hint="eastAsia" w:ascii="宋体" w:hAnsi="宋体" w:cs="宋体"/>
          <w:color w:val="auto"/>
          <w:kern w:val="0"/>
          <w:sz w:val="24"/>
          <w:szCs w:val="24"/>
          <w:highlight w:val="none"/>
        </w:rPr>
        <w:t>本项目不组织踏勘现场，投标单位应承担其编制招标文件与递交投标文件所涉及的一切费用。不管结果如何，投标单位应自行承担投标的全部费用</w:t>
      </w:r>
      <w:r>
        <w:rPr>
          <w:rFonts w:hint="eastAsia" w:ascii="宋体" w:hAnsi="宋体" w:cs="宋体"/>
          <w:color w:val="auto"/>
          <w:sz w:val="24"/>
          <w:szCs w:val="24"/>
          <w:highlight w:val="none"/>
        </w:rPr>
        <w:t>。</w:t>
      </w:r>
    </w:p>
    <w:p w14:paraId="67CE57F4">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60" w:name="_Toc247639841"/>
      <w:bookmarkStart w:id="61" w:name="_Toc291089184"/>
      <w:bookmarkStart w:id="62" w:name="_Toc23297"/>
      <w:bookmarkStart w:id="63" w:name="_Toc14124"/>
      <w:bookmarkStart w:id="64" w:name="_Toc18749529"/>
      <w:bookmarkStart w:id="65" w:name="_Toc2753"/>
      <w:bookmarkStart w:id="66" w:name="_Toc21093"/>
      <w:bookmarkStart w:id="67" w:name="_Toc26194"/>
      <w:bookmarkStart w:id="68" w:name="_Toc12327"/>
      <w:bookmarkStart w:id="69" w:name="_Toc5369"/>
      <w:r>
        <w:rPr>
          <w:rFonts w:hint="eastAsia" w:ascii="宋体" w:hAnsi="宋体" w:eastAsia="宋体" w:cs="宋体"/>
          <w:b/>
          <w:bCs/>
          <w:color w:val="auto"/>
          <w:sz w:val="24"/>
          <w:szCs w:val="24"/>
          <w:highlight w:val="none"/>
        </w:rPr>
        <w:t xml:space="preserve">1.3 </w:t>
      </w:r>
      <w:bookmarkEnd w:id="60"/>
      <w:bookmarkEnd w:id="61"/>
      <w:r>
        <w:rPr>
          <w:rFonts w:hint="eastAsia" w:ascii="宋体" w:hAnsi="宋体" w:eastAsia="宋体" w:cs="宋体"/>
          <w:b/>
          <w:bCs/>
          <w:color w:val="auto"/>
          <w:sz w:val="24"/>
          <w:szCs w:val="24"/>
          <w:highlight w:val="none"/>
        </w:rPr>
        <w:t>定义及解释</w:t>
      </w:r>
      <w:bookmarkEnd w:id="62"/>
      <w:bookmarkEnd w:id="63"/>
      <w:bookmarkEnd w:id="64"/>
      <w:bookmarkEnd w:id="65"/>
      <w:bookmarkEnd w:id="66"/>
      <w:bookmarkEnd w:id="67"/>
      <w:bookmarkEnd w:id="68"/>
      <w:bookmarkEnd w:id="69"/>
    </w:p>
    <w:p w14:paraId="14E80329">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1.3.1 采购人：采购人系指依法进行政府采购的国家机关、事业单位、团体组织。本次招标的采购人是</w:t>
      </w:r>
      <w:r>
        <w:rPr>
          <w:rFonts w:hint="eastAsia" w:ascii="宋体" w:hAnsi="宋体" w:cs="宋体"/>
          <w:b/>
          <w:color w:val="auto"/>
          <w:sz w:val="24"/>
          <w:szCs w:val="24"/>
          <w:highlight w:val="none"/>
          <w:lang w:eastAsia="zh-CN"/>
        </w:rPr>
        <w:t>鲁山县城市管理局</w:t>
      </w:r>
      <w:r>
        <w:rPr>
          <w:rFonts w:hint="eastAsia" w:ascii="宋体" w:hAnsi="宋体" w:cs="宋体"/>
          <w:color w:val="auto"/>
          <w:kern w:val="0"/>
          <w:sz w:val="24"/>
          <w:szCs w:val="24"/>
          <w:highlight w:val="none"/>
        </w:rPr>
        <w:t>。</w:t>
      </w:r>
    </w:p>
    <w:p w14:paraId="4C643462">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1.3.2 采购代理机构：采购代理机构系指根据采购人的委托依法办理招标事宜的中介机构。本次招标的采购代理机构是</w:t>
      </w:r>
      <w:r>
        <w:rPr>
          <w:rFonts w:hint="eastAsia" w:ascii="宋体" w:hAnsi="宋体" w:cs="宋体"/>
          <w:b/>
          <w:bCs/>
          <w:color w:val="auto"/>
          <w:kern w:val="0"/>
          <w:sz w:val="24"/>
          <w:szCs w:val="24"/>
          <w:highlight w:val="none"/>
          <w:lang w:eastAsia="zh-CN"/>
        </w:rPr>
        <w:t>河南省亿达工程管理咨询有限公司</w:t>
      </w:r>
      <w:r>
        <w:rPr>
          <w:rFonts w:hint="eastAsia" w:ascii="宋体" w:hAnsi="宋体" w:cs="宋体"/>
          <w:color w:val="auto"/>
          <w:kern w:val="0"/>
          <w:sz w:val="24"/>
          <w:szCs w:val="24"/>
          <w:highlight w:val="none"/>
        </w:rPr>
        <w:t>。</w:t>
      </w:r>
    </w:p>
    <w:p w14:paraId="7ED6D506">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1.3.3 投标人：</w:t>
      </w:r>
      <w:r>
        <w:rPr>
          <w:rFonts w:hint="eastAsia" w:ascii="宋体" w:hAnsi="宋体" w:cs="宋体"/>
          <w:color w:val="auto"/>
          <w:kern w:val="0"/>
          <w:sz w:val="24"/>
          <w:szCs w:val="24"/>
          <w:highlight w:val="none"/>
          <w:lang w:val="en-US" w:eastAsia="zh-CN"/>
        </w:rPr>
        <w:t>指</w:t>
      </w:r>
      <w:r>
        <w:rPr>
          <w:rFonts w:hint="eastAsia" w:ascii="宋体" w:hAnsi="宋体" w:cs="宋体"/>
          <w:color w:val="000000"/>
          <w:kern w:val="0"/>
          <w:sz w:val="24"/>
          <w:szCs w:val="24"/>
          <w:highlight w:val="none"/>
        </w:rPr>
        <w:t>响应招标、参与投标竞争的法人或其他组织。</w:t>
      </w:r>
      <w:r>
        <w:rPr>
          <w:rFonts w:hint="eastAsia" w:ascii="宋体" w:hAnsi="宋体" w:cs="宋体"/>
          <w:color w:val="auto"/>
          <w:kern w:val="0"/>
          <w:sz w:val="24"/>
          <w:szCs w:val="24"/>
          <w:highlight w:val="none"/>
        </w:rPr>
        <w:t>。</w:t>
      </w:r>
    </w:p>
    <w:p w14:paraId="14AD5CF8">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1.3.4 招标文件：指本文件及答疑文件、补充文件。</w:t>
      </w:r>
    </w:p>
    <w:p w14:paraId="40E7508C">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1.3.5 投标文件：指投标人响应招标文件要求提交的文件。</w:t>
      </w:r>
    </w:p>
    <w:p w14:paraId="476DA88C">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1.3.6 中标人：指中标的投标人，合同签约的承包人。</w:t>
      </w:r>
    </w:p>
    <w:p w14:paraId="25F35B2C">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1.3.7 服务：指投标人按招标文件规定，向采购人提供的全部服务。</w:t>
      </w:r>
    </w:p>
    <w:p w14:paraId="1FA8CD05">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1.3.8 评标委员会：是指依照《中华人民共和国政府采购法》、《中华人民共和国政府采购法实施条例》和国家七部委颁布的《评标委员会和评标方法暂行规定》组建的专门负责本次招标项目评标工作的临时机构。</w:t>
      </w:r>
    </w:p>
    <w:p w14:paraId="544A9763">
      <w:pPr>
        <w:pStyle w:val="5"/>
        <w:numPr>
          <w:ilvl w:val="0"/>
          <w:numId w:val="0"/>
        </w:numPr>
        <w:spacing w:before="0" w:after="0" w:line="360" w:lineRule="auto"/>
        <w:rPr>
          <w:rFonts w:hint="eastAsia" w:ascii="宋体" w:hAnsi="宋体" w:eastAsia="宋体" w:cs="宋体"/>
          <w:color w:val="auto"/>
          <w:sz w:val="24"/>
          <w:szCs w:val="24"/>
          <w:highlight w:val="none"/>
          <w:lang w:eastAsia="zh-CN"/>
        </w:rPr>
      </w:pPr>
      <w:bookmarkStart w:id="70" w:name="_Toc25723"/>
      <w:bookmarkStart w:id="71" w:name="_Toc2570"/>
      <w:bookmarkStart w:id="72" w:name="_Toc247639843"/>
      <w:bookmarkStart w:id="73" w:name="_Toc26605"/>
      <w:bookmarkStart w:id="74" w:name="_Toc22903"/>
      <w:bookmarkStart w:id="75" w:name="_Toc18749530"/>
      <w:bookmarkStart w:id="76" w:name="_Toc291089186"/>
      <w:bookmarkStart w:id="77" w:name="_Toc6206"/>
      <w:bookmarkStart w:id="78" w:name="_Toc26107"/>
      <w:bookmarkStart w:id="79" w:name="_Toc18247"/>
      <w:r>
        <w:rPr>
          <w:rFonts w:hint="eastAsia" w:ascii="宋体" w:hAnsi="宋体" w:eastAsia="宋体" w:cs="宋体"/>
          <w:b/>
          <w:bCs/>
          <w:color w:val="auto"/>
          <w:sz w:val="24"/>
          <w:szCs w:val="24"/>
          <w:highlight w:val="none"/>
        </w:rPr>
        <w:t xml:space="preserve">1.4 </w:t>
      </w:r>
      <w:bookmarkEnd w:id="70"/>
      <w:bookmarkEnd w:id="71"/>
      <w:bookmarkEnd w:id="72"/>
      <w:bookmarkEnd w:id="73"/>
      <w:bookmarkEnd w:id="74"/>
      <w:bookmarkEnd w:id="75"/>
      <w:bookmarkEnd w:id="76"/>
      <w:bookmarkEnd w:id="77"/>
      <w:bookmarkEnd w:id="78"/>
      <w:bookmarkEnd w:id="79"/>
      <w:r>
        <w:rPr>
          <w:rFonts w:hint="eastAsia" w:ascii="宋体" w:hAnsi="宋体" w:eastAsia="宋体" w:cs="宋体"/>
          <w:b/>
          <w:bCs/>
          <w:color w:val="auto"/>
          <w:sz w:val="24"/>
          <w:szCs w:val="24"/>
          <w:highlight w:val="none"/>
          <w:lang w:eastAsia="zh-CN"/>
        </w:rPr>
        <w:t>投标人资格要求</w:t>
      </w:r>
    </w:p>
    <w:p w14:paraId="008AB913">
      <w:pPr>
        <w:pStyle w:val="3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1.4.1投标人资格要求：见投标人须知前附表。</w:t>
      </w:r>
    </w:p>
    <w:p w14:paraId="6ED65E1C">
      <w:pPr>
        <w:pStyle w:val="3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1.4.2联合体投标：不接受联合体投标。</w:t>
      </w:r>
    </w:p>
    <w:p w14:paraId="2EA0ABEA">
      <w:pPr>
        <w:pStyle w:val="3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1.4.3投标人不得存在下列情形之一：</w:t>
      </w:r>
    </w:p>
    <w:p w14:paraId="63A581F1">
      <w:pPr>
        <w:spacing w:line="360" w:lineRule="auto"/>
        <w:ind w:right="171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（1）与采购人存在利害关系且可能影响招标公正性；</w:t>
      </w:r>
    </w:p>
    <w:p w14:paraId="36E9B7C5">
      <w:pPr>
        <w:spacing w:line="360" w:lineRule="auto"/>
        <w:ind w:right="171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（2）与本招标项目的其他投标人为同一个单位负责人；</w:t>
      </w:r>
    </w:p>
    <w:p w14:paraId="50E7BA16">
      <w:pPr>
        <w:spacing w:line="360" w:lineRule="auto"/>
        <w:ind w:right="171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（3）与本招标项目的其他投标人存在控股、管理关系；</w:t>
      </w:r>
    </w:p>
    <w:p w14:paraId="1A0032CE">
      <w:pPr>
        <w:spacing w:line="360" w:lineRule="auto"/>
        <w:ind w:right="171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（4）为本招标项目提供过设计、编制技术规范和其他文件的咨询服务；</w:t>
      </w:r>
    </w:p>
    <w:p w14:paraId="6AA98731">
      <w:pPr>
        <w:spacing w:line="360" w:lineRule="auto"/>
        <w:ind w:right="171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（5）为本招标项目的招标代理机构；</w:t>
      </w:r>
    </w:p>
    <w:p w14:paraId="2A805F51">
      <w:pPr>
        <w:spacing w:line="360" w:lineRule="auto"/>
        <w:ind w:right="171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（6）与本招标项目的招标代理机构存在控股或参股关系；</w:t>
      </w:r>
    </w:p>
    <w:p w14:paraId="76C8EB2D">
      <w:pPr>
        <w:spacing w:line="360" w:lineRule="auto"/>
        <w:ind w:right="171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（7）被依法暂停或者取消投标资格；</w:t>
      </w:r>
    </w:p>
    <w:p w14:paraId="0EDEDF6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（8）被责令停产停业、暂扣或者吊销许可证、暂扣或者吊销执照；</w:t>
      </w:r>
    </w:p>
    <w:p w14:paraId="6AEA84E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（9）进入清算程序，或被宣告破产，或其他丧失履约能力的情形；</w:t>
      </w:r>
    </w:p>
    <w:p w14:paraId="7C840BB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（10）在最近三年内有骗取中标或严重违约的；</w:t>
      </w:r>
    </w:p>
    <w:p w14:paraId="144F9A1C">
      <w:pPr>
        <w:spacing w:line="360" w:lineRule="auto"/>
        <w:ind w:right="32"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（11）被工商行政管理机关在全国企业信用信息公示系统中列入严重违法失信企业名单；</w:t>
      </w:r>
    </w:p>
    <w:p w14:paraId="1367BC64">
      <w:pPr>
        <w:spacing w:line="360" w:lineRule="auto"/>
        <w:ind w:left="8"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（12）被最高人民法院在“信用中国”网站（www.creditchina.gov.cn）或各级信用信息共享平台中列入失信被执行人名单；</w:t>
      </w:r>
    </w:p>
    <w:p w14:paraId="369981C3">
      <w:pPr>
        <w:spacing w:line="360" w:lineRule="auto"/>
        <w:ind w:left="8"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（13）法律法规或投标人须知前附表规定的其他情形。</w:t>
      </w:r>
    </w:p>
    <w:p w14:paraId="599AB325">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80" w:name="_Toc18749531"/>
      <w:bookmarkStart w:id="81" w:name="_Toc9965"/>
      <w:bookmarkStart w:id="82" w:name="_Toc13735"/>
      <w:bookmarkStart w:id="83" w:name="_Toc19079"/>
      <w:bookmarkStart w:id="84" w:name="_Toc11412"/>
      <w:bookmarkStart w:id="85" w:name="_Toc291089187"/>
      <w:bookmarkStart w:id="86" w:name="_Toc247639844"/>
      <w:bookmarkStart w:id="87" w:name="_Toc17074"/>
      <w:bookmarkStart w:id="88" w:name="_Toc15631"/>
      <w:bookmarkStart w:id="89" w:name="_Toc15355"/>
      <w:r>
        <w:rPr>
          <w:rFonts w:hint="eastAsia" w:ascii="宋体" w:hAnsi="宋体" w:eastAsia="宋体" w:cs="宋体"/>
          <w:b/>
          <w:bCs/>
          <w:color w:val="auto"/>
          <w:sz w:val="24"/>
          <w:szCs w:val="24"/>
          <w:highlight w:val="none"/>
        </w:rPr>
        <w:t xml:space="preserve">1.5 </w:t>
      </w:r>
      <w:bookmarkEnd w:id="80"/>
      <w:bookmarkEnd w:id="81"/>
      <w:bookmarkEnd w:id="82"/>
      <w:bookmarkEnd w:id="83"/>
      <w:bookmarkEnd w:id="84"/>
      <w:bookmarkStart w:id="90" w:name="_Toc6775"/>
      <w:bookmarkStart w:id="91" w:name="_Toc13540"/>
      <w:bookmarkStart w:id="92" w:name="_Toc21993"/>
      <w:bookmarkStart w:id="93" w:name="_Toc18749532"/>
      <w:bookmarkStart w:id="94" w:name="_Toc5930"/>
      <w:r>
        <w:rPr>
          <w:rFonts w:hint="eastAsia" w:ascii="宋体" w:hAnsi="宋体" w:eastAsia="宋体" w:cs="宋体"/>
          <w:b/>
          <w:bCs/>
          <w:color w:val="auto"/>
          <w:sz w:val="24"/>
          <w:szCs w:val="24"/>
          <w:highlight w:val="none"/>
        </w:rPr>
        <w:t>费用承担</w:t>
      </w:r>
      <w:bookmarkEnd w:id="85"/>
      <w:bookmarkEnd w:id="86"/>
      <w:r>
        <w:rPr>
          <w:rFonts w:hint="eastAsia" w:ascii="宋体" w:hAnsi="宋体" w:eastAsia="宋体" w:cs="宋体"/>
          <w:b/>
          <w:bCs/>
          <w:color w:val="auto"/>
          <w:sz w:val="24"/>
          <w:szCs w:val="24"/>
          <w:highlight w:val="none"/>
        </w:rPr>
        <w:t>和招标代理服务费</w:t>
      </w:r>
      <w:bookmarkEnd w:id="87"/>
      <w:bookmarkEnd w:id="88"/>
      <w:bookmarkEnd w:id="89"/>
      <w:bookmarkEnd w:id="90"/>
      <w:bookmarkEnd w:id="91"/>
      <w:bookmarkEnd w:id="92"/>
      <w:bookmarkEnd w:id="93"/>
      <w:bookmarkEnd w:id="94"/>
    </w:p>
    <w:p w14:paraId="68E9428E">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1.5.1 投标人承担其投标文件编制与递交所涉及的一切费用。在任何情况下采购人、采购代理机构对上述费用均不承担任何责任和义务。</w:t>
      </w:r>
    </w:p>
    <w:p w14:paraId="4C06AAD3">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1.5.2 </w:t>
      </w:r>
      <w:r>
        <w:rPr>
          <w:rFonts w:hint="eastAsia" w:ascii="宋体" w:hAnsi="宋体" w:cs="宋体"/>
          <w:color w:val="auto"/>
          <w:sz w:val="24"/>
          <w:szCs w:val="24"/>
          <w:highlight w:val="none"/>
        </w:rPr>
        <w:t>招标代理费见投标人须知前附表。</w:t>
      </w:r>
    </w:p>
    <w:p w14:paraId="1411D38D">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95" w:name="_Toc14507"/>
      <w:bookmarkStart w:id="96" w:name="_Toc1198"/>
      <w:bookmarkStart w:id="97" w:name="_Toc30526"/>
      <w:bookmarkStart w:id="98" w:name="_Toc18479"/>
      <w:bookmarkStart w:id="99" w:name="_Toc12722"/>
      <w:bookmarkStart w:id="100" w:name="_Toc247639845"/>
      <w:bookmarkStart w:id="101" w:name="_Toc291089188"/>
      <w:bookmarkStart w:id="102" w:name="_Toc9691"/>
      <w:bookmarkStart w:id="103" w:name="_Toc18749533"/>
      <w:bookmarkStart w:id="104" w:name="_Toc17114"/>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保密</w:t>
      </w:r>
      <w:bookmarkEnd w:id="95"/>
      <w:bookmarkEnd w:id="96"/>
      <w:bookmarkEnd w:id="97"/>
      <w:bookmarkEnd w:id="98"/>
      <w:bookmarkEnd w:id="99"/>
      <w:bookmarkEnd w:id="100"/>
      <w:bookmarkEnd w:id="101"/>
      <w:bookmarkEnd w:id="102"/>
      <w:bookmarkEnd w:id="103"/>
      <w:bookmarkEnd w:id="104"/>
    </w:p>
    <w:p w14:paraId="374EB18E">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参与招标投标活动的各方应对招标文件和投标文件中的商业和技术等秘密保密，违者应对由此造成的后果承担法律责任。</w:t>
      </w:r>
    </w:p>
    <w:p w14:paraId="10A5B3A8">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105" w:name="_Toc247639846"/>
      <w:bookmarkStart w:id="106" w:name="_Toc291089189"/>
      <w:bookmarkStart w:id="107" w:name="_Toc12810"/>
      <w:bookmarkStart w:id="108" w:name="_Toc25939"/>
      <w:bookmarkStart w:id="109" w:name="_Toc31148"/>
      <w:bookmarkStart w:id="110" w:name="_Toc26062"/>
      <w:bookmarkStart w:id="111" w:name="_Toc18749534"/>
      <w:bookmarkStart w:id="112" w:name="_Toc23327"/>
      <w:bookmarkStart w:id="113" w:name="_Toc21769"/>
      <w:bookmarkStart w:id="114" w:name="_Toc20900"/>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 语言文字</w:t>
      </w:r>
      <w:bookmarkEnd w:id="105"/>
      <w:bookmarkEnd w:id="106"/>
      <w:r>
        <w:rPr>
          <w:rFonts w:hint="eastAsia" w:ascii="宋体" w:hAnsi="宋体" w:eastAsia="宋体" w:cs="宋体"/>
          <w:b/>
          <w:bCs/>
          <w:color w:val="auto"/>
          <w:sz w:val="24"/>
          <w:szCs w:val="24"/>
          <w:highlight w:val="none"/>
        </w:rPr>
        <w:t>和计量</w:t>
      </w:r>
      <w:bookmarkEnd w:id="107"/>
      <w:bookmarkEnd w:id="108"/>
      <w:bookmarkEnd w:id="109"/>
      <w:bookmarkEnd w:id="110"/>
      <w:bookmarkEnd w:id="111"/>
      <w:bookmarkEnd w:id="112"/>
      <w:bookmarkEnd w:id="113"/>
      <w:bookmarkEnd w:id="114"/>
    </w:p>
    <w:p w14:paraId="5104E6B4">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1.7.1 除专用术语外，与招标投标有关的语言均使用中文。必要时专用术语应附有中文注释。</w:t>
      </w:r>
    </w:p>
    <w:p w14:paraId="57596722">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1.7.2 所有计量均采用中华人民共和国法定计量单位。</w:t>
      </w:r>
    </w:p>
    <w:p w14:paraId="7CF5195F">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115" w:name="_Toc247639847"/>
      <w:bookmarkStart w:id="116" w:name="_Toc291089190"/>
      <w:bookmarkStart w:id="117" w:name="_Toc14328"/>
      <w:bookmarkStart w:id="118" w:name="_Toc22599"/>
      <w:bookmarkStart w:id="119" w:name="_Toc13742"/>
      <w:bookmarkStart w:id="120" w:name="_Toc11605"/>
      <w:bookmarkStart w:id="121" w:name="_Toc2272"/>
      <w:bookmarkStart w:id="122" w:name="_Toc14990"/>
      <w:bookmarkStart w:id="123" w:name="_Toc31135"/>
      <w:bookmarkStart w:id="124" w:name="_Toc18749535"/>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 </w:t>
      </w:r>
      <w:bookmarkEnd w:id="115"/>
      <w:bookmarkEnd w:id="116"/>
      <w:r>
        <w:rPr>
          <w:rFonts w:hint="eastAsia" w:ascii="宋体" w:hAnsi="宋体" w:eastAsia="宋体" w:cs="宋体"/>
          <w:b/>
          <w:bCs/>
          <w:color w:val="auto"/>
          <w:sz w:val="24"/>
          <w:szCs w:val="24"/>
          <w:highlight w:val="none"/>
        </w:rPr>
        <w:t>保证</w:t>
      </w:r>
      <w:bookmarkEnd w:id="117"/>
      <w:bookmarkEnd w:id="118"/>
      <w:bookmarkEnd w:id="119"/>
      <w:bookmarkEnd w:id="120"/>
      <w:bookmarkEnd w:id="121"/>
      <w:bookmarkEnd w:id="122"/>
      <w:bookmarkEnd w:id="123"/>
      <w:bookmarkEnd w:id="124"/>
    </w:p>
    <w:p w14:paraId="1A8C37AD">
      <w:pPr>
        <w:pStyle w:val="3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投标人应保证在投标文件中所提交的资料和数据是真实的。</w:t>
      </w:r>
    </w:p>
    <w:p w14:paraId="396BF540">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125" w:name="_Toc6563"/>
      <w:bookmarkStart w:id="126" w:name="_Toc30848"/>
      <w:bookmarkStart w:id="127" w:name="_Toc11415"/>
      <w:bookmarkStart w:id="128" w:name="_Toc17674"/>
      <w:bookmarkStart w:id="129" w:name="_Toc3496"/>
      <w:bookmarkStart w:id="130" w:name="_Toc24213"/>
      <w:bookmarkStart w:id="131" w:name="_Toc32363"/>
      <w:bookmarkStart w:id="132" w:name="_Toc247639848"/>
      <w:bookmarkStart w:id="133" w:name="_Toc18749536"/>
      <w:bookmarkStart w:id="134" w:name="_Toc291089191"/>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 xml:space="preserve"> 踏勘现场</w:t>
      </w:r>
      <w:bookmarkEnd w:id="125"/>
      <w:bookmarkEnd w:id="126"/>
      <w:bookmarkEnd w:id="127"/>
      <w:bookmarkEnd w:id="128"/>
      <w:bookmarkEnd w:id="129"/>
      <w:bookmarkEnd w:id="130"/>
      <w:bookmarkEnd w:id="131"/>
      <w:bookmarkEnd w:id="132"/>
      <w:bookmarkEnd w:id="133"/>
      <w:bookmarkEnd w:id="134"/>
    </w:p>
    <w:p w14:paraId="232B20F5">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1.9.1 投标人按须知前附表规定自行组织踏勘现场，采购人将提供必要的协助。</w:t>
      </w:r>
    </w:p>
    <w:p w14:paraId="3B2E343D">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1.9.2 投标人踏勘现场发生的费用自理。</w:t>
      </w:r>
    </w:p>
    <w:p w14:paraId="530441BC">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1.9.3 除采购人的原因外，投标人自行负责在踏勘现场中所发生的人员伤亡和财产损失。</w:t>
      </w:r>
    </w:p>
    <w:p w14:paraId="7034DB05">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1.9.4 采购人在踏勘现场中介绍的工程场地和相关的周边环境情况，供投标人在编制投标文件时参考，采购人不对投标人据此作出的判断和决策负责。</w:t>
      </w:r>
    </w:p>
    <w:p w14:paraId="48B6C569">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135" w:name="_Toc2271"/>
      <w:bookmarkStart w:id="136" w:name="_Toc18749537"/>
      <w:bookmarkStart w:id="137" w:name="_Toc8295"/>
      <w:bookmarkStart w:id="138" w:name="_Toc11996"/>
      <w:bookmarkStart w:id="139" w:name="_Toc17448"/>
      <w:bookmarkStart w:id="140" w:name="_Toc17704"/>
      <w:bookmarkStart w:id="141" w:name="_Toc291089192"/>
      <w:bookmarkStart w:id="142" w:name="_Toc13704"/>
      <w:bookmarkStart w:id="143" w:name="_Toc16829"/>
      <w:bookmarkStart w:id="144" w:name="_Toc247639849"/>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 xml:space="preserve"> 投标预备会</w:t>
      </w:r>
      <w:bookmarkEnd w:id="135"/>
      <w:bookmarkEnd w:id="136"/>
      <w:bookmarkEnd w:id="137"/>
      <w:bookmarkEnd w:id="138"/>
      <w:bookmarkEnd w:id="139"/>
      <w:bookmarkEnd w:id="140"/>
      <w:bookmarkEnd w:id="141"/>
      <w:bookmarkEnd w:id="142"/>
      <w:bookmarkEnd w:id="143"/>
      <w:bookmarkEnd w:id="144"/>
    </w:p>
    <w:p w14:paraId="0C999854">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本项目不召开投标预备会。</w:t>
      </w:r>
    </w:p>
    <w:p w14:paraId="66870441">
      <w:pPr>
        <w:pStyle w:val="5"/>
        <w:numPr>
          <w:ilvl w:val="0"/>
          <w:numId w:val="0"/>
        </w:numPr>
        <w:spacing w:before="0" w:after="0" w:line="360" w:lineRule="auto"/>
        <w:rPr>
          <w:rFonts w:hint="eastAsia" w:ascii="宋体" w:hAnsi="宋体" w:eastAsia="宋体" w:cs="宋体"/>
          <w:b/>
          <w:bCs/>
          <w:color w:val="auto"/>
          <w:sz w:val="24"/>
          <w:szCs w:val="24"/>
          <w:highlight w:val="none"/>
          <w:lang w:val="en-US" w:eastAsia="zh-CN"/>
        </w:rPr>
      </w:pPr>
      <w:bookmarkStart w:id="145" w:name="_Toc291089194"/>
      <w:bookmarkStart w:id="146" w:name="_Toc29414"/>
      <w:bookmarkStart w:id="147" w:name="_Toc18749538"/>
      <w:bookmarkStart w:id="148" w:name="_Toc587"/>
      <w:bookmarkStart w:id="149" w:name="_Toc14994"/>
      <w:bookmarkStart w:id="150" w:name="_Toc8420"/>
      <w:bookmarkStart w:id="151" w:name="_Toc26430"/>
      <w:bookmarkStart w:id="152" w:name="_Toc247639851"/>
      <w:bookmarkStart w:id="153" w:name="_Toc30978"/>
      <w:bookmarkStart w:id="154" w:name="_Toc1610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1分包</w:t>
      </w:r>
    </w:p>
    <w:p w14:paraId="3FA9EFC4">
      <w:pPr>
        <w:spacing w:line="360" w:lineRule="auto"/>
        <w:rPr>
          <w:rFonts w:ascii="宋体" w:hAnsi="宋体" w:cs="宋体"/>
          <w:color w:val="auto"/>
          <w:highlight w:val="none"/>
        </w:rPr>
      </w:pP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 xml:space="preserve"> 本项目不允许分包。</w:t>
      </w:r>
    </w:p>
    <w:p w14:paraId="3BEEE04A">
      <w:pPr>
        <w:pStyle w:val="5"/>
        <w:numPr>
          <w:ilvl w:val="0"/>
          <w:numId w:val="0"/>
        </w:numPr>
        <w:spacing w:before="0" w:after="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1.12</w:t>
      </w:r>
      <w:r>
        <w:rPr>
          <w:rFonts w:hint="eastAsia" w:ascii="宋体" w:hAnsi="宋体" w:eastAsia="宋体" w:cs="宋体"/>
          <w:b/>
          <w:bCs/>
          <w:color w:val="auto"/>
          <w:sz w:val="24"/>
          <w:szCs w:val="24"/>
          <w:highlight w:val="none"/>
        </w:rPr>
        <w:t>偏离</w:t>
      </w:r>
      <w:bookmarkEnd w:id="145"/>
      <w:bookmarkEnd w:id="146"/>
      <w:bookmarkEnd w:id="147"/>
      <w:bookmarkEnd w:id="148"/>
      <w:bookmarkEnd w:id="149"/>
      <w:bookmarkEnd w:id="150"/>
      <w:bookmarkEnd w:id="151"/>
      <w:bookmarkEnd w:id="152"/>
      <w:bookmarkEnd w:id="153"/>
      <w:bookmarkEnd w:id="154"/>
    </w:p>
    <w:p w14:paraId="7F5E0F1F">
      <w:pPr>
        <w:spacing w:line="360" w:lineRule="auto"/>
        <w:ind w:firstLine="410" w:firstLineChars="171"/>
        <w:rPr>
          <w:rFonts w:hint="eastAsia" w:ascii="宋体" w:hAnsi="宋体" w:cs="宋体"/>
          <w:color w:val="auto"/>
          <w:sz w:val="24"/>
          <w:szCs w:val="24"/>
          <w:highlight w:val="none"/>
        </w:rPr>
      </w:pPr>
      <w:bookmarkStart w:id="155" w:name="_Toc18749539"/>
      <w:bookmarkStart w:id="156" w:name="_Toc17764"/>
      <w:bookmarkStart w:id="157" w:name="_Toc247639852"/>
      <w:bookmarkStart w:id="158" w:name="_Toc291089195"/>
      <w:bookmarkStart w:id="159" w:name="_Toc9734"/>
      <w:bookmarkStart w:id="160" w:name="_Toc8085"/>
      <w:r>
        <w:rPr>
          <w:rFonts w:hint="eastAsia" w:ascii="宋体" w:hAnsi="宋体" w:cs="宋体"/>
          <w:color w:val="auto"/>
          <w:sz w:val="24"/>
          <w:szCs w:val="24"/>
          <w:highlight w:val="none"/>
        </w:rPr>
        <w:t>投标人须知前附表允许投标文件偏离招标文件某些要求的，偏离应当符合招标文件规定的偏离范围和幅度。</w:t>
      </w:r>
    </w:p>
    <w:p w14:paraId="7D13396C">
      <w:pPr>
        <w:pStyle w:val="4"/>
        <w:numPr>
          <w:ilvl w:val="0"/>
          <w:numId w:val="0"/>
        </w:numPr>
        <w:spacing w:before="0" w:after="0" w:line="360" w:lineRule="auto"/>
        <w:jc w:val="left"/>
        <w:rPr>
          <w:rFonts w:hint="eastAsia" w:ascii="宋体" w:hAnsi="宋体" w:eastAsia="宋体" w:cs="宋体"/>
          <w:b/>
          <w:bCs/>
          <w:color w:val="auto"/>
          <w:sz w:val="24"/>
          <w:szCs w:val="24"/>
          <w:highlight w:val="none"/>
        </w:rPr>
      </w:pPr>
      <w:bookmarkStart w:id="161" w:name="_Toc3140"/>
      <w:bookmarkStart w:id="162" w:name="_Toc25846"/>
      <w:r>
        <w:rPr>
          <w:rFonts w:hint="eastAsia" w:ascii="宋体" w:hAnsi="宋体" w:eastAsia="宋体" w:cs="宋体"/>
          <w:b/>
          <w:bCs/>
          <w:color w:val="auto"/>
          <w:sz w:val="24"/>
          <w:szCs w:val="24"/>
          <w:highlight w:val="none"/>
        </w:rPr>
        <w:t>2. 招标文件</w:t>
      </w:r>
      <w:bookmarkEnd w:id="155"/>
      <w:bookmarkEnd w:id="156"/>
      <w:bookmarkEnd w:id="157"/>
      <w:bookmarkEnd w:id="158"/>
      <w:bookmarkEnd w:id="159"/>
      <w:bookmarkEnd w:id="160"/>
      <w:bookmarkEnd w:id="161"/>
      <w:bookmarkEnd w:id="162"/>
    </w:p>
    <w:p w14:paraId="007F29DC">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163" w:name="_Toc513"/>
      <w:bookmarkStart w:id="164" w:name="_Toc1420"/>
      <w:bookmarkStart w:id="165" w:name="_Toc31809"/>
      <w:bookmarkStart w:id="166" w:name="_Toc27938"/>
      <w:bookmarkStart w:id="167" w:name="_Toc18749540"/>
      <w:bookmarkStart w:id="168" w:name="_Toc442"/>
      <w:bookmarkStart w:id="169" w:name="_Toc2528"/>
      <w:bookmarkStart w:id="170" w:name="_Toc247639853"/>
      <w:bookmarkStart w:id="171" w:name="_Toc8837"/>
      <w:bookmarkStart w:id="172" w:name="_Toc291089196"/>
      <w:r>
        <w:rPr>
          <w:rFonts w:hint="eastAsia" w:ascii="宋体" w:hAnsi="宋体" w:eastAsia="宋体" w:cs="宋体"/>
          <w:b/>
          <w:bCs/>
          <w:color w:val="auto"/>
          <w:sz w:val="24"/>
          <w:szCs w:val="24"/>
          <w:highlight w:val="none"/>
        </w:rPr>
        <w:t>2.1 招标文件的组成</w:t>
      </w:r>
      <w:bookmarkEnd w:id="163"/>
      <w:bookmarkEnd w:id="164"/>
      <w:bookmarkEnd w:id="165"/>
      <w:bookmarkEnd w:id="166"/>
      <w:bookmarkEnd w:id="167"/>
      <w:bookmarkEnd w:id="168"/>
      <w:bookmarkEnd w:id="169"/>
      <w:bookmarkEnd w:id="170"/>
      <w:bookmarkEnd w:id="171"/>
      <w:bookmarkEnd w:id="172"/>
    </w:p>
    <w:p w14:paraId="13C5F313">
      <w:pPr>
        <w:tabs>
          <w:tab w:val="left" w:pos="1260"/>
        </w:tabs>
        <w:autoSpaceDE w:val="0"/>
        <w:autoSpaceDN w:val="0"/>
        <w:adjustRightInd w:val="0"/>
        <w:spacing w:line="360" w:lineRule="auto"/>
        <w:ind w:firstLine="240" w:firstLineChars="1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（1）招标公告；</w:t>
      </w:r>
    </w:p>
    <w:p w14:paraId="2656C1CF">
      <w:pPr>
        <w:tabs>
          <w:tab w:val="left" w:pos="1260"/>
        </w:tabs>
        <w:autoSpaceDE w:val="0"/>
        <w:autoSpaceDN w:val="0"/>
        <w:adjustRightInd w:val="0"/>
        <w:spacing w:line="360" w:lineRule="auto"/>
        <w:ind w:firstLine="240" w:firstLineChars="1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（2）投标人须知；</w:t>
      </w:r>
    </w:p>
    <w:p w14:paraId="75BE13C9">
      <w:pPr>
        <w:tabs>
          <w:tab w:val="left" w:pos="1260"/>
        </w:tabs>
        <w:autoSpaceDE w:val="0"/>
        <w:autoSpaceDN w:val="0"/>
        <w:adjustRightInd w:val="0"/>
        <w:spacing w:line="360" w:lineRule="auto"/>
        <w:ind w:firstLine="240" w:firstLineChars="1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（3）评标办法；</w:t>
      </w:r>
    </w:p>
    <w:p w14:paraId="1400A60B">
      <w:pPr>
        <w:tabs>
          <w:tab w:val="left" w:pos="1260"/>
        </w:tabs>
        <w:autoSpaceDE w:val="0"/>
        <w:autoSpaceDN w:val="0"/>
        <w:adjustRightInd w:val="0"/>
        <w:spacing w:line="360" w:lineRule="auto"/>
        <w:ind w:firstLine="240" w:firstLineChars="1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（4）合同条款及格式；</w:t>
      </w:r>
    </w:p>
    <w:p w14:paraId="79D5930B">
      <w:pPr>
        <w:tabs>
          <w:tab w:val="left" w:pos="1260"/>
        </w:tabs>
        <w:autoSpaceDE w:val="0"/>
        <w:autoSpaceDN w:val="0"/>
        <w:adjustRightInd w:val="0"/>
        <w:spacing w:line="360" w:lineRule="auto"/>
        <w:ind w:firstLine="240" w:firstLineChars="1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hint="eastAsia" w:ascii="宋体" w:hAnsi="宋体" w:cs="宋体"/>
          <w:color w:val="auto"/>
          <w:kern w:val="0"/>
          <w:sz w:val="24"/>
          <w:highlight w:val="none"/>
          <w:lang w:val="en-US" w:eastAsia="zh-CN"/>
        </w:rPr>
        <w:t>采购内容及技术要求</w:t>
      </w:r>
      <w:r>
        <w:rPr>
          <w:rFonts w:hint="eastAsia" w:ascii="宋体" w:hAnsi="宋体" w:cs="宋体"/>
          <w:color w:val="auto"/>
          <w:kern w:val="0"/>
          <w:sz w:val="24"/>
          <w:szCs w:val="24"/>
          <w:highlight w:val="none"/>
        </w:rPr>
        <w:t>；</w:t>
      </w:r>
    </w:p>
    <w:p w14:paraId="338436F5">
      <w:pPr>
        <w:tabs>
          <w:tab w:val="left" w:pos="1260"/>
        </w:tabs>
        <w:autoSpaceDE w:val="0"/>
        <w:autoSpaceDN w:val="0"/>
        <w:adjustRightInd w:val="0"/>
        <w:spacing w:line="360" w:lineRule="auto"/>
        <w:ind w:firstLine="240" w:firstLineChars="1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（6）投标文件格式；</w:t>
      </w:r>
    </w:p>
    <w:p w14:paraId="47A2D051">
      <w:pPr>
        <w:autoSpaceDE w:val="0"/>
        <w:autoSpaceDN w:val="0"/>
        <w:adjustRightInd w:val="0"/>
        <w:spacing w:line="360" w:lineRule="auto"/>
        <w:ind w:firstLine="240" w:firstLineChars="1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（7）附件；</w:t>
      </w:r>
    </w:p>
    <w:p w14:paraId="11F199D5">
      <w:pPr>
        <w:autoSpaceDE w:val="0"/>
        <w:autoSpaceDN w:val="0"/>
        <w:adjustRightInd w:val="0"/>
        <w:spacing w:line="360" w:lineRule="auto"/>
        <w:ind w:firstLine="321" w:firstLineChars="134"/>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根据本章第2.2 款和第2.3 款对招标文件所作的澄清、修改，构成招标文件的组成部分。</w:t>
      </w:r>
    </w:p>
    <w:p w14:paraId="369FFC19">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173" w:name="_Toc27148"/>
      <w:bookmarkStart w:id="174" w:name="_Toc17505"/>
      <w:bookmarkStart w:id="175" w:name="_Toc291089197"/>
      <w:bookmarkStart w:id="176" w:name="_Toc15344"/>
      <w:bookmarkStart w:id="177" w:name="_Toc247639854"/>
      <w:bookmarkStart w:id="178" w:name="_Toc18749541"/>
      <w:bookmarkStart w:id="179" w:name="_Toc3563"/>
      <w:bookmarkStart w:id="180" w:name="_Toc15054"/>
      <w:bookmarkStart w:id="181" w:name="_Toc28839"/>
      <w:bookmarkStart w:id="182" w:name="_Toc28771"/>
      <w:r>
        <w:rPr>
          <w:rFonts w:hint="eastAsia" w:ascii="宋体" w:hAnsi="宋体" w:eastAsia="宋体" w:cs="宋体"/>
          <w:b/>
          <w:bCs/>
          <w:color w:val="auto"/>
          <w:sz w:val="24"/>
          <w:szCs w:val="24"/>
          <w:highlight w:val="none"/>
        </w:rPr>
        <w:t>2.2 招标文件的澄清</w:t>
      </w:r>
      <w:bookmarkEnd w:id="173"/>
      <w:bookmarkEnd w:id="174"/>
      <w:bookmarkEnd w:id="175"/>
      <w:bookmarkEnd w:id="176"/>
      <w:bookmarkEnd w:id="177"/>
      <w:bookmarkEnd w:id="178"/>
      <w:bookmarkEnd w:id="179"/>
      <w:bookmarkEnd w:id="180"/>
      <w:bookmarkEnd w:id="181"/>
      <w:bookmarkEnd w:id="182"/>
    </w:p>
    <w:p w14:paraId="60B64881">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2.2.1 投标人应仔细阅读和检查招标文件的全部内容。如发现缺页或附件不全，应及时向采购人提出，以便补齐。如有疑问，应在投标人须知前附表规定的时间前在电子交易系统中，要求采购人对招标文件予以澄清。</w:t>
      </w:r>
    </w:p>
    <w:p w14:paraId="5627BA28">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2.2.2 </w:t>
      </w:r>
      <w:r>
        <w:rPr>
          <w:rFonts w:hint="eastAsia" w:ascii="宋体" w:hAnsi="宋体" w:cs="宋体"/>
          <w:color w:val="auto"/>
          <w:sz w:val="24"/>
          <w:szCs w:val="24"/>
          <w:highlight w:val="none"/>
        </w:rPr>
        <w:t>招标代理机构对已发出的招标文件进行的答疑、澄清、变更的内容将作为招标文件的组成部分。招标代理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招标代理机构不承担投标人未收到短信而引起的一切后果和法律责任。投标人在投标文件递交截止时间前须自行查看项目进展、变更通知、澄清及回复，因投标人未及时查看而造成的后果自负，</w:t>
      </w:r>
      <w:r>
        <w:rPr>
          <w:rFonts w:hint="eastAsia" w:ascii="宋体" w:hAnsi="宋体" w:cs="宋体"/>
          <w:color w:val="auto"/>
          <w:kern w:val="0"/>
          <w:sz w:val="24"/>
          <w:szCs w:val="24"/>
          <w:highlight w:val="none"/>
        </w:rPr>
        <w:t>招标文件的澄清将在投标人须知前附表规定的投标截止时间15日前以电子档形式在电子交易系统中发出，但不指明澄清问题的来源。如果澄清发出的时间距投标截止时间不足15日，相应延长投标截止时间。</w:t>
      </w:r>
    </w:p>
    <w:p w14:paraId="2F1101C3">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2.2.3投标人在参与本项目采购活动期间应及时关注电子交易系统网站，获取相关澄清信息（如果有）。</w:t>
      </w:r>
    </w:p>
    <w:p w14:paraId="767D8DB8">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183" w:name="_Toc30555"/>
      <w:bookmarkStart w:id="184" w:name="_Toc247639855"/>
      <w:bookmarkStart w:id="185" w:name="_Toc20919"/>
      <w:bookmarkStart w:id="186" w:name="_Toc5433"/>
      <w:bookmarkStart w:id="187" w:name="_Toc18749542"/>
      <w:bookmarkStart w:id="188" w:name="_Toc11033"/>
      <w:bookmarkStart w:id="189" w:name="_Toc10510"/>
      <w:bookmarkStart w:id="190" w:name="_Toc32564"/>
      <w:bookmarkStart w:id="191" w:name="_Toc291089198"/>
      <w:bookmarkStart w:id="192" w:name="_Toc2229"/>
      <w:r>
        <w:rPr>
          <w:rFonts w:hint="eastAsia" w:ascii="宋体" w:hAnsi="宋体" w:eastAsia="宋体" w:cs="宋体"/>
          <w:b/>
          <w:bCs/>
          <w:color w:val="auto"/>
          <w:sz w:val="24"/>
          <w:szCs w:val="24"/>
          <w:highlight w:val="none"/>
        </w:rPr>
        <w:t>2.3 招标文件的修改</w:t>
      </w:r>
      <w:bookmarkEnd w:id="183"/>
      <w:bookmarkEnd w:id="184"/>
      <w:bookmarkEnd w:id="185"/>
      <w:bookmarkEnd w:id="186"/>
      <w:bookmarkEnd w:id="187"/>
      <w:bookmarkEnd w:id="188"/>
      <w:bookmarkEnd w:id="189"/>
      <w:bookmarkEnd w:id="190"/>
      <w:bookmarkEnd w:id="191"/>
      <w:bookmarkEnd w:id="192"/>
    </w:p>
    <w:p w14:paraId="5B186D74">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2.3.1在投标截止时间15日前，采购人可以在电子交易系统中修改招标文件。如果修改招标文件的时间距投标截止时间不足15日，相应延长投标截止时间。</w:t>
      </w:r>
    </w:p>
    <w:p w14:paraId="1111A689">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2.3.2投标人在参与本项目采购活动期间应及时关注电子交易系统网站，获取相关修改信息（如果有）。</w:t>
      </w:r>
    </w:p>
    <w:p w14:paraId="02AEC4B6">
      <w:pPr>
        <w:pStyle w:val="4"/>
        <w:numPr>
          <w:ilvl w:val="0"/>
          <w:numId w:val="0"/>
        </w:numPr>
        <w:spacing w:before="0" w:after="0" w:line="360" w:lineRule="auto"/>
        <w:jc w:val="left"/>
        <w:rPr>
          <w:rFonts w:hint="eastAsia" w:ascii="宋体" w:hAnsi="宋体" w:eastAsia="宋体" w:cs="宋体"/>
          <w:b/>
          <w:bCs/>
          <w:color w:val="auto"/>
          <w:sz w:val="24"/>
          <w:szCs w:val="24"/>
          <w:highlight w:val="none"/>
        </w:rPr>
      </w:pPr>
      <w:bookmarkStart w:id="193" w:name="_Toc29676"/>
      <w:bookmarkStart w:id="194" w:name="_Toc12532"/>
      <w:bookmarkStart w:id="195" w:name="_Toc291089199"/>
      <w:bookmarkStart w:id="196" w:name="_Toc3214"/>
      <w:bookmarkStart w:id="197" w:name="_Toc6225"/>
      <w:bookmarkStart w:id="198" w:name="_Toc247639856"/>
      <w:bookmarkStart w:id="199" w:name="_Toc18749543"/>
      <w:bookmarkStart w:id="200" w:name="_Toc23874"/>
      <w:r>
        <w:rPr>
          <w:rFonts w:hint="eastAsia" w:ascii="宋体" w:hAnsi="宋体" w:eastAsia="宋体" w:cs="宋体"/>
          <w:b/>
          <w:bCs/>
          <w:color w:val="auto"/>
          <w:sz w:val="24"/>
          <w:szCs w:val="24"/>
          <w:highlight w:val="none"/>
        </w:rPr>
        <w:t>3. 投标文件</w:t>
      </w:r>
      <w:bookmarkEnd w:id="193"/>
      <w:bookmarkEnd w:id="194"/>
      <w:bookmarkEnd w:id="195"/>
      <w:bookmarkEnd w:id="196"/>
      <w:bookmarkEnd w:id="197"/>
      <w:bookmarkEnd w:id="198"/>
      <w:bookmarkEnd w:id="199"/>
      <w:bookmarkEnd w:id="200"/>
    </w:p>
    <w:p w14:paraId="13CBD896">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201" w:name="_Toc247639857"/>
      <w:bookmarkStart w:id="202" w:name="_Toc18517"/>
      <w:bookmarkStart w:id="203" w:name="_Toc26916"/>
      <w:bookmarkStart w:id="204" w:name="_Toc18749544"/>
      <w:bookmarkStart w:id="205" w:name="_Toc4219"/>
      <w:bookmarkStart w:id="206" w:name="_Toc24174"/>
      <w:bookmarkStart w:id="207" w:name="_Toc291089200"/>
      <w:bookmarkStart w:id="208" w:name="_Toc20997"/>
      <w:bookmarkStart w:id="209" w:name="_Toc4838"/>
      <w:bookmarkStart w:id="210" w:name="_Toc8003"/>
      <w:r>
        <w:rPr>
          <w:rFonts w:hint="eastAsia" w:ascii="宋体" w:hAnsi="宋体" w:eastAsia="宋体" w:cs="宋体"/>
          <w:b/>
          <w:bCs/>
          <w:color w:val="auto"/>
          <w:sz w:val="24"/>
          <w:szCs w:val="24"/>
          <w:highlight w:val="none"/>
        </w:rPr>
        <w:t>3.1 投标文件的组成</w:t>
      </w:r>
      <w:bookmarkEnd w:id="201"/>
      <w:bookmarkEnd w:id="202"/>
      <w:bookmarkEnd w:id="203"/>
      <w:bookmarkEnd w:id="204"/>
      <w:bookmarkEnd w:id="205"/>
      <w:bookmarkEnd w:id="206"/>
      <w:bookmarkEnd w:id="207"/>
      <w:bookmarkEnd w:id="208"/>
      <w:bookmarkEnd w:id="209"/>
      <w:bookmarkEnd w:id="210"/>
    </w:p>
    <w:p w14:paraId="3601F7BB">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3.1.1 投标文件应包括下列内容：</w:t>
      </w:r>
    </w:p>
    <w:p w14:paraId="56CF3150">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bookmarkStart w:id="211" w:name="_Toc291089201"/>
      <w:bookmarkStart w:id="212" w:name="_Toc247639858"/>
      <w:r>
        <w:rPr>
          <w:rFonts w:hint="eastAsia" w:ascii="宋体" w:hAnsi="宋体" w:cs="宋体"/>
          <w:color w:val="auto"/>
          <w:kern w:val="0"/>
          <w:sz w:val="24"/>
          <w:szCs w:val="24"/>
          <w:highlight w:val="none"/>
        </w:rPr>
        <w:t>（1）投标函；</w:t>
      </w:r>
    </w:p>
    <w:p w14:paraId="119D63CA">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开标一览表</w:t>
      </w:r>
      <w:r>
        <w:rPr>
          <w:rFonts w:hint="eastAsia" w:ascii="宋体" w:hAnsi="宋体" w:cs="宋体"/>
          <w:color w:val="auto"/>
          <w:kern w:val="0"/>
          <w:sz w:val="24"/>
          <w:szCs w:val="24"/>
          <w:highlight w:val="none"/>
        </w:rPr>
        <w:t>；</w:t>
      </w:r>
    </w:p>
    <w:p w14:paraId="6E6CEECD">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（3）法定代表人授权书；</w:t>
      </w:r>
    </w:p>
    <w:p w14:paraId="025E93F4">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（4）法定代表人身份证明；</w:t>
      </w:r>
    </w:p>
    <w:p w14:paraId="415323CC">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（5）投标人承诺；</w:t>
      </w:r>
    </w:p>
    <w:p w14:paraId="7A39C9F1">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（6）项目人员配备情况表；</w:t>
      </w:r>
    </w:p>
    <w:p w14:paraId="78F3E483">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（7）投标人基本情况表；</w:t>
      </w:r>
    </w:p>
    <w:p w14:paraId="07C8EC91">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hint="eastAsia" w:ascii="宋体" w:hAnsi="宋体" w:cs="宋体"/>
          <w:color w:val="auto"/>
          <w:sz w:val="24"/>
          <w:szCs w:val="24"/>
          <w:highlight w:val="none"/>
          <w:shd w:val="clear" w:color="auto" w:fill="FFFFFF"/>
        </w:rPr>
        <w:t>投标企业实力状况</w:t>
      </w:r>
      <w:r>
        <w:rPr>
          <w:rFonts w:hint="eastAsia" w:ascii="宋体" w:hAnsi="宋体" w:cs="宋体"/>
          <w:color w:val="auto"/>
          <w:kern w:val="0"/>
          <w:sz w:val="24"/>
          <w:szCs w:val="24"/>
          <w:highlight w:val="none"/>
        </w:rPr>
        <w:t>；</w:t>
      </w:r>
    </w:p>
    <w:p w14:paraId="3AB21DEF">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Style w:val="34"/>
          <w:rFonts w:hint="eastAsia" w:ascii="宋体" w:hAnsi="宋体" w:cs="宋体"/>
          <w:b w:val="0"/>
          <w:bCs w:val="0"/>
          <w:color w:val="auto"/>
          <w:szCs w:val="24"/>
          <w:highlight w:val="none"/>
        </w:rPr>
        <w:t>项目服务技术方案</w:t>
      </w:r>
      <w:r>
        <w:rPr>
          <w:rFonts w:hint="eastAsia" w:ascii="宋体" w:hAnsi="宋体" w:cs="宋体"/>
          <w:color w:val="auto"/>
          <w:kern w:val="0"/>
          <w:sz w:val="24"/>
          <w:szCs w:val="24"/>
          <w:highlight w:val="none"/>
        </w:rPr>
        <w:t>；</w:t>
      </w:r>
    </w:p>
    <w:p w14:paraId="4F5693A8">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（10）</w:t>
      </w:r>
      <w:r>
        <w:rPr>
          <w:rStyle w:val="34"/>
          <w:rFonts w:hint="eastAsia" w:ascii="宋体" w:hAnsi="宋体" w:cs="宋体"/>
          <w:b w:val="0"/>
          <w:bCs w:val="0"/>
          <w:color w:val="auto"/>
          <w:szCs w:val="24"/>
          <w:highlight w:val="none"/>
        </w:rPr>
        <w:t>投标单位认为应该提供的其他材料</w:t>
      </w:r>
      <w:r>
        <w:rPr>
          <w:rFonts w:hint="eastAsia" w:ascii="宋体" w:hAnsi="宋体" w:cs="宋体"/>
          <w:color w:val="auto"/>
          <w:kern w:val="0"/>
          <w:sz w:val="24"/>
          <w:szCs w:val="24"/>
          <w:highlight w:val="none"/>
        </w:rPr>
        <w:t>；</w:t>
      </w:r>
    </w:p>
    <w:p w14:paraId="23D7B48C">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w:t>
      </w:r>
      <w:r>
        <w:rPr>
          <w:rFonts w:hint="eastAsia" w:ascii="宋体" w:hAnsi="宋体" w:cs="宋体"/>
          <w:color w:val="auto"/>
          <w:sz w:val="24"/>
          <w:szCs w:val="24"/>
          <w:highlight w:val="none"/>
        </w:rPr>
        <w:t>反商业贿赂承诺书；</w:t>
      </w:r>
    </w:p>
    <w:p w14:paraId="0EFB7712">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w:t>
      </w:r>
      <w:r>
        <w:rPr>
          <w:rFonts w:hint="eastAsia" w:ascii="宋体" w:hAnsi="宋体" w:cs="宋体"/>
          <w:color w:val="auto"/>
          <w:sz w:val="24"/>
          <w:szCs w:val="24"/>
          <w:highlight w:val="none"/>
        </w:rPr>
        <w:t>享受政府采购政策扶持的证明材料。</w:t>
      </w:r>
    </w:p>
    <w:p w14:paraId="16F5D15D">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213" w:name="_Toc3327"/>
      <w:bookmarkStart w:id="214" w:name="_Toc13752"/>
      <w:bookmarkStart w:id="215" w:name="_Toc17359"/>
      <w:r>
        <w:rPr>
          <w:rFonts w:hint="eastAsia" w:ascii="宋体" w:hAnsi="宋体" w:eastAsia="宋体" w:cs="宋体"/>
          <w:b/>
          <w:bCs/>
          <w:color w:val="auto"/>
          <w:sz w:val="24"/>
          <w:szCs w:val="24"/>
          <w:highlight w:val="none"/>
        </w:rPr>
        <w:t>3.2 投标报价</w:t>
      </w:r>
      <w:bookmarkEnd w:id="211"/>
      <w:bookmarkEnd w:id="212"/>
      <w:bookmarkEnd w:id="213"/>
      <w:bookmarkEnd w:id="214"/>
      <w:bookmarkEnd w:id="215"/>
    </w:p>
    <w:p w14:paraId="1580F128">
      <w:pPr>
        <w:autoSpaceDE w:val="0"/>
        <w:spacing w:line="336" w:lineRule="auto"/>
        <w:ind w:firstLine="480" w:firstLineChars="200"/>
        <w:rPr>
          <w:rFonts w:hint="eastAsia" w:ascii="宋体" w:hAnsi="宋体" w:cs="宋体"/>
          <w:color w:val="auto"/>
          <w:sz w:val="24"/>
          <w:szCs w:val="24"/>
          <w:highlight w:val="none"/>
        </w:rPr>
      </w:pPr>
      <w:bookmarkStart w:id="216" w:name="_Toc247639859"/>
      <w:bookmarkStart w:id="217" w:name="_Toc291089202"/>
      <w:bookmarkStart w:id="218" w:name="_Toc28159"/>
      <w:bookmarkStart w:id="219" w:name="_Toc23463"/>
      <w:bookmarkStart w:id="220" w:name="_Toc18749545"/>
      <w:bookmarkStart w:id="221" w:name="_Toc11696"/>
      <w:bookmarkStart w:id="222" w:name="_Toc31685"/>
      <w:r>
        <w:rPr>
          <w:rFonts w:hint="eastAsia" w:ascii="宋体" w:hAnsi="宋体" w:cs="宋体"/>
          <w:color w:val="auto"/>
          <w:sz w:val="24"/>
          <w:szCs w:val="24"/>
          <w:highlight w:val="none"/>
        </w:rPr>
        <w:t>3.2.1投标人应按照招标文件规定的服务要求、责任范围和合同条件，以人民币报价。投标报价应是按合同规定的范围所提供的全部服务所需的费用。投标人报价含人工工资（</w:t>
      </w:r>
      <w:r>
        <w:rPr>
          <w:rFonts w:hint="eastAsia" w:ascii="宋体" w:hAnsi="宋体" w:cs="宋体"/>
          <w:color w:val="auto"/>
          <w:kern w:val="0"/>
          <w:sz w:val="24"/>
          <w:szCs w:val="24"/>
          <w:highlight w:val="none"/>
          <w:lang w:bidi="ar"/>
        </w:rPr>
        <w:t>含高温补贴费及加班费</w:t>
      </w:r>
      <w:r>
        <w:rPr>
          <w:rFonts w:hint="eastAsia" w:ascii="宋体" w:hAnsi="宋体" w:cs="宋体"/>
          <w:color w:val="auto"/>
          <w:sz w:val="24"/>
          <w:szCs w:val="24"/>
          <w:highlight w:val="none"/>
        </w:rPr>
        <w:t>）、意外险、劳保福利、劳动工具、车辆费用等综合费用。</w:t>
      </w:r>
    </w:p>
    <w:p w14:paraId="7B205A43">
      <w:pPr>
        <w:autoSpaceDE w:val="0"/>
        <w:spacing w:line="33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3.2.2 投标文件中标明的价格在合同执行过程中是固定不变的，不得以任何理由予以变更。招标文件或合同约定的情况除外。</w:t>
      </w:r>
    </w:p>
    <w:p w14:paraId="17975DEE">
      <w:pPr>
        <w:autoSpaceDE w:val="0"/>
        <w:spacing w:line="33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3.2.3除招标文件约定的可调整的费用之外，未经采购人认可和确认的均不得调整。</w:t>
      </w:r>
    </w:p>
    <w:p w14:paraId="604D1CF2">
      <w:pPr>
        <w:spacing w:line="360" w:lineRule="auto"/>
        <w:ind w:firstLine="480" w:firstLineChars="20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3.2.4投标人的投标报价不得超过包最高限价。包最高限价见投标人须知前附表。</w:t>
      </w:r>
    </w:p>
    <w:p w14:paraId="6ADC89C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3.2.5投标人的投标总报价具有唯一性，招标人不接受任何可变价，投标人的投标报价理解为所有费用（3.2.1条所列各项等一切费用），投标人的投标报价如有漏项，视为已经包含在投标报价内。 </w:t>
      </w:r>
    </w:p>
    <w:p w14:paraId="3120806A">
      <w:pPr>
        <w:pStyle w:val="5"/>
        <w:numPr>
          <w:ilvl w:val="0"/>
          <w:numId w:val="0"/>
        </w:numPr>
        <w:spacing w:before="0" w:after="0" w:line="360" w:lineRule="auto"/>
        <w:ind w:firstLine="480" w:firstLineChars="200"/>
        <w:rPr>
          <w:rFonts w:hint="eastAsia" w:ascii="宋体" w:hAnsi="宋体" w:eastAsia="宋体" w:cs="宋体"/>
          <w:color w:val="auto"/>
          <w:sz w:val="24"/>
          <w:szCs w:val="24"/>
          <w:highlight w:val="none"/>
          <w:lang w:eastAsia="zh-CN"/>
        </w:rPr>
      </w:pPr>
      <w:bookmarkStart w:id="223" w:name="_Toc29650"/>
      <w:bookmarkStart w:id="224" w:name="_Toc30015"/>
      <w:bookmarkStart w:id="225" w:name="_Toc5761"/>
      <w:r>
        <w:rPr>
          <w:rFonts w:hint="eastAsia" w:ascii="宋体" w:hAnsi="宋体" w:eastAsia="宋体" w:cs="宋体"/>
          <w:color w:val="auto"/>
          <w:sz w:val="24"/>
          <w:szCs w:val="24"/>
          <w:highlight w:val="none"/>
        </w:rPr>
        <w:t>3.2.6投标总报价是评标的重要依据，但不是唯一依据，最低报价不是中标的决定因素</w:t>
      </w:r>
      <w:r>
        <w:rPr>
          <w:rFonts w:hint="eastAsia" w:ascii="宋体" w:hAnsi="宋体" w:eastAsia="宋体" w:cs="宋体"/>
          <w:color w:val="auto"/>
          <w:sz w:val="24"/>
          <w:szCs w:val="24"/>
          <w:highlight w:val="none"/>
          <w:lang w:eastAsia="zh-CN"/>
        </w:rPr>
        <w:t>。</w:t>
      </w:r>
    </w:p>
    <w:p w14:paraId="38079274">
      <w:pPr>
        <w:pStyle w:val="5"/>
        <w:numPr>
          <w:ilvl w:val="0"/>
          <w:numId w:val="0"/>
        </w:numPr>
        <w:spacing w:before="0"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3.2.7</w:t>
      </w:r>
      <w:r>
        <w:rPr>
          <w:rFonts w:hint="eastAsia" w:ascii="宋体" w:hAnsi="宋体" w:eastAsia="宋体" w:cs="宋体"/>
          <w:color w:val="auto"/>
          <w:sz w:val="24"/>
          <w:szCs w:val="24"/>
          <w:highlight w:val="none"/>
        </w:rPr>
        <w:t>投标人所报的投标价在合同执行过程中是固定不变的，不得以任何理由予以变更。任何包含价格调整要求的投标，将被认为是非响应性投标而予以拒绝。</w:t>
      </w:r>
      <w:bookmarkEnd w:id="223"/>
      <w:bookmarkEnd w:id="224"/>
      <w:bookmarkEnd w:id="225"/>
    </w:p>
    <w:p w14:paraId="4470B1D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3.2.8招标人不承诺最低报价一定中标。</w:t>
      </w:r>
    </w:p>
    <w:p w14:paraId="45FB83CB">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226" w:name="_Toc23533"/>
      <w:bookmarkStart w:id="227" w:name="_Toc24481"/>
      <w:bookmarkStart w:id="228" w:name="_Toc18072"/>
      <w:r>
        <w:rPr>
          <w:rFonts w:hint="eastAsia" w:ascii="宋体" w:hAnsi="宋体" w:eastAsia="宋体" w:cs="宋体"/>
          <w:b/>
          <w:bCs/>
          <w:color w:val="auto"/>
          <w:sz w:val="24"/>
          <w:szCs w:val="24"/>
          <w:highlight w:val="none"/>
        </w:rPr>
        <w:t>3.3 投标有效期</w:t>
      </w:r>
      <w:bookmarkEnd w:id="216"/>
      <w:bookmarkEnd w:id="217"/>
      <w:bookmarkEnd w:id="218"/>
      <w:bookmarkEnd w:id="219"/>
      <w:bookmarkEnd w:id="220"/>
      <w:bookmarkEnd w:id="221"/>
      <w:bookmarkEnd w:id="222"/>
      <w:bookmarkEnd w:id="226"/>
      <w:bookmarkEnd w:id="227"/>
      <w:bookmarkEnd w:id="228"/>
    </w:p>
    <w:p w14:paraId="3CD52A5D">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3.3.1 在投标人须知前附表规定的投标有效期内，投标人不得要求撤销或修改其投标文件。</w:t>
      </w:r>
    </w:p>
    <w:p w14:paraId="603A00AC">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3.3.2 出现特殊情况需要延长投标有效期的，采购人以书面形式通知所有投标人延长投标有效期。投标人同意延长但不得要求或被允许修改或撤销其投标文件；投标人拒绝延长的，其投标失效。</w:t>
      </w:r>
    </w:p>
    <w:p w14:paraId="6ABC1DA1">
      <w:pPr>
        <w:spacing w:line="360" w:lineRule="auto"/>
        <w:outlineLvl w:val="2"/>
        <w:rPr>
          <w:rFonts w:hint="eastAsia" w:ascii="宋体" w:hAnsi="宋体" w:cs="宋体"/>
          <w:b/>
          <w:color w:val="auto"/>
          <w:sz w:val="24"/>
          <w:szCs w:val="24"/>
          <w:highlight w:val="none"/>
        </w:rPr>
      </w:pPr>
      <w:bookmarkStart w:id="229" w:name="_Toc22172"/>
      <w:bookmarkStart w:id="230" w:name="_Toc18749546"/>
      <w:bookmarkStart w:id="231" w:name="_Toc247639860"/>
      <w:bookmarkStart w:id="232" w:name="_Toc20066"/>
      <w:bookmarkStart w:id="233" w:name="_Toc30777"/>
      <w:bookmarkStart w:id="234" w:name="_Toc27593"/>
      <w:bookmarkStart w:id="235" w:name="_Toc291089203"/>
      <w:bookmarkStart w:id="236" w:name="_Toc3335"/>
      <w:bookmarkStart w:id="237" w:name="_Toc16778"/>
      <w:bookmarkStart w:id="238" w:name="_Toc27780"/>
      <w:r>
        <w:rPr>
          <w:rFonts w:hint="eastAsia" w:ascii="宋体" w:hAnsi="宋体" w:cs="宋体"/>
          <w:b/>
          <w:bCs/>
          <w:color w:val="auto"/>
          <w:sz w:val="24"/>
          <w:szCs w:val="24"/>
          <w:highlight w:val="none"/>
        </w:rPr>
        <w:t>3.4</w:t>
      </w:r>
      <w:bookmarkEnd w:id="229"/>
      <w:bookmarkEnd w:id="230"/>
      <w:bookmarkEnd w:id="231"/>
      <w:bookmarkEnd w:id="232"/>
      <w:bookmarkEnd w:id="233"/>
      <w:bookmarkEnd w:id="234"/>
      <w:bookmarkEnd w:id="235"/>
      <w:r>
        <w:rPr>
          <w:rFonts w:hint="eastAsia" w:ascii="宋体" w:hAnsi="宋体" w:cs="宋体"/>
          <w:b/>
          <w:color w:val="auto"/>
          <w:sz w:val="24"/>
          <w:szCs w:val="24"/>
          <w:highlight w:val="none"/>
        </w:rPr>
        <w:t>投标</w:t>
      </w:r>
      <w:bookmarkEnd w:id="236"/>
      <w:bookmarkEnd w:id="237"/>
      <w:r>
        <w:rPr>
          <w:rFonts w:hint="eastAsia" w:ascii="宋体" w:hAnsi="宋体" w:cs="宋体"/>
          <w:b/>
          <w:color w:val="auto"/>
          <w:sz w:val="24"/>
          <w:szCs w:val="24"/>
          <w:highlight w:val="none"/>
        </w:rPr>
        <w:t>保证金</w:t>
      </w:r>
      <w:bookmarkEnd w:id="238"/>
    </w:p>
    <w:p w14:paraId="513D0F1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3.4.1按照河南省《关于优化政府采购营商环境有关问题的通知》（豫财购（2019）4号 文）的要求，本项目不予收取投标保证金，投标人应提供投标承诺函。未提供投标承诺函的视为不响应招标文件。</w:t>
      </w:r>
    </w:p>
    <w:p w14:paraId="058B038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投标人应按照招标文件要求，在投标文件中提供投标承诺函，明确所应当履行的责任和义务， 诚信履约，并自觉接受行政监管部门的监督管理。</w:t>
      </w:r>
    </w:p>
    <w:p w14:paraId="62C7479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3.4.2 有下列情形之一的，取消其中标资格，对采购人造成损失的应给予赔偿并承担相应责任： </w:t>
      </w:r>
    </w:p>
    <w:p w14:paraId="1DC65FE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（1）投标人在规定的投标有效期内撤销或修改其投标文件；</w:t>
      </w:r>
    </w:p>
    <w:p w14:paraId="78ED67DF">
      <w:pP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（2）中标人在收到中标通知书后，无正当理由拒签合同协议书或未按招标文件规定提交履约担保。</w:t>
      </w:r>
    </w:p>
    <w:p w14:paraId="6EBCD72E">
      <w:pPr>
        <w:autoSpaceDE w:val="0"/>
        <w:autoSpaceDN w:val="0"/>
        <w:adjustRightInd w:val="0"/>
        <w:spacing w:line="360" w:lineRule="auto"/>
        <w:ind w:firstLine="482" w:firstLineChars="200"/>
        <w:jc w:val="left"/>
        <w:rPr>
          <w:rFonts w:hint="eastAsia" w:ascii="宋体" w:hAnsi="宋体" w:cs="宋体"/>
          <w:b/>
          <w:bCs/>
          <w:color w:val="auto"/>
          <w:sz w:val="24"/>
          <w:szCs w:val="24"/>
          <w:highlight w:val="none"/>
        </w:rPr>
      </w:pPr>
      <w:bookmarkStart w:id="239" w:name="_Toc291089204"/>
      <w:bookmarkStart w:id="240" w:name="_Toc11818"/>
      <w:bookmarkStart w:id="241" w:name="_Toc8281"/>
      <w:bookmarkStart w:id="242" w:name="_Toc27174"/>
      <w:bookmarkStart w:id="243" w:name="_Toc18749547"/>
      <w:bookmarkStart w:id="244" w:name="_Toc247639861"/>
      <w:bookmarkStart w:id="245" w:name="_Toc2026"/>
      <w:bookmarkStart w:id="246" w:name="_Toc21775"/>
      <w:bookmarkStart w:id="247" w:name="_Toc9431"/>
      <w:r>
        <w:rPr>
          <w:rFonts w:hint="eastAsia" w:ascii="宋体" w:hAnsi="宋体" w:cs="宋体"/>
          <w:b/>
          <w:bCs/>
          <w:color w:val="auto"/>
          <w:sz w:val="24"/>
          <w:szCs w:val="24"/>
          <w:highlight w:val="none"/>
        </w:rPr>
        <w:t>3.5</w:t>
      </w:r>
      <w:bookmarkEnd w:id="239"/>
      <w:bookmarkEnd w:id="240"/>
      <w:bookmarkEnd w:id="241"/>
      <w:bookmarkEnd w:id="242"/>
      <w:bookmarkEnd w:id="243"/>
      <w:bookmarkEnd w:id="244"/>
      <w:bookmarkEnd w:id="245"/>
      <w:bookmarkEnd w:id="246"/>
      <w:bookmarkEnd w:id="247"/>
      <w:bookmarkStart w:id="248" w:name="_Toc18749549"/>
      <w:bookmarkStart w:id="249" w:name="_Toc27871"/>
      <w:bookmarkStart w:id="250" w:name="_Toc27244"/>
      <w:bookmarkStart w:id="251" w:name="_Toc28287"/>
      <w:bookmarkStart w:id="252" w:name="_Toc6543"/>
      <w:bookmarkStart w:id="253" w:name="_Toc247639863"/>
      <w:bookmarkStart w:id="254" w:name="_Toc19440"/>
      <w:bookmarkStart w:id="255" w:name="_Toc291089206"/>
      <w:bookmarkStart w:id="256" w:name="_Toc20130"/>
      <w:r>
        <w:rPr>
          <w:rFonts w:hint="eastAsia" w:ascii="宋体" w:hAnsi="宋体" w:cs="宋体"/>
          <w:b/>
          <w:bCs/>
          <w:color w:val="auto"/>
          <w:sz w:val="24"/>
          <w:szCs w:val="24"/>
          <w:highlight w:val="none"/>
        </w:rPr>
        <w:t>电子投标文件的编制</w:t>
      </w:r>
      <w:bookmarkEnd w:id="248"/>
      <w:bookmarkEnd w:id="249"/>
      <w:bookmarkEnd w:id="250"/>
      <w:bookmarkEnd w:id="251"/>
      <w:bookmarkEnd w:id="252"/>
      <w:bookmarkEnd w:id="253"/>
      <w:bookmarkEnd w:id="254"/>
      <w:bookmarkEnd w:id="255"/>
      <w:bookmarkEnd w:id="256"/>
    </w:p>
    <w:p w14:paraId="3062F3C4">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3.5.1 电子投标文件应按第六章“投标文件格式”进行编写，如有必要，可以增加附页，作为电子投标文件的组成部分。其中，投标函附录在满足招标文件实质性要求的基础上，可以提出比招标文件要求更有利于采购人的承诺。</w:t>
      </w:r>
    </w:p>
    <w:p w14:paraId="3BD7C566">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3.5.2 电子投标文件应当对招标文件有关</w:t>
      </w:r>
      <w:r>
        <w:rPr>
          <w:rFonts w:hint="eastAsia" w:ascii="宋体" w:hAnsi="宋体" w:cs="宋体"/>
          <w:color w:val="auto"/>
          <w:sz w:val="24"/>
          <w:szCs w:val="24"/>
          <w:highlight w:val="none"/>
        </w:rPr>
        <w:t>招标范围、服务周期及质量要求、</w:t>
      </w:r>
      <w:r>
        <w:rPr>
          <w:rFonts w:hint="eastAsia" w:ascii="宋体" w:hAnsi="宋体" w:cs="宋体"/>
          <w:color w:val="auto"/>
          <w:kern w:val="0"/>
          <w:sz w:val="24"/>
          <w:szCs w:val="24"/>
          <w:highlight w:val="none"/>
        </w:rPr>
        <w:t>投标有效期等实质性内容作出响应。</w:t>
      </w:r>
    </w:p>
    <w:p w14:paraId="76679A63">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3.5.3电子化投标文件的签章：见投标人须知前附表。</w:t>
      </w:r>
    </w:p>
    <w:p w14:paraId="20AD0FBE">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3.5.4投标文件格式及递交方式：见投标人须知前附表。</w:t>
      </w:r>
    </w:p>
    <w:p w14:paraId="1D950245">
      <w:pPr>
        <w:pStyle w:val="20"/>
        <w:ind w:firstLine="480"/>
        <w:rPr>
          <w:rFonts w:hint="eastAsia" w:ascii="宋体" w:hAnsi="宋体" w:cs="宋体"/>
          <w:color w:val="auto"/>
          <w:highlight w:val="none"/>
          <w:lang w:val="en-US" w:eastAsia="zh-CN"/>
        </w:rPr>
      </w:pPr>
      <w:r>
        <w:rPr>
          <w:rFonts w:hint="eastAsia" w:ascii="宋体" w:hAnsi="宋体" w:cs="宋体"/>
          <w:color w:val="auto"/>
          <w:sz w:val="24"/>
          <w:szCs w:val="24"/>
          <w:highlight w:val="none"/>
          <w:lang w:val="en-US" w:eastAsia="zh-CN"/>
        </w:rPr>
        <w:t>3.5.5</w:t>
      </w:r>
      <w:r>
        <w:rPr>
          <w:rFonts w:hint="eastAsia" w:ascii="宋体" w:hAnsi="宋体" w:cs="宋体"/>
          <w:color w:val="auto"/>
          <w:sz w:val="24"/>
          <w:szCs w:val="24"/>
          <w:highlight w:val="none"/>
        </w:rPr>
        <w:t>投标人应按照招标文件的要求，规范、明确、准时的提交投标文件。如果没有按照招标文件的要求提交全部资料并保证所提供全部资料的真实性，或没有对招标文件做出实质性响应，其风险应由投标人自行承担。</w:t>
      </w:r>
    </w:p>
    <w:p w14:paraId="5346E816">
      <w:pPr>
        <w:pStyle w:val="4"/>
        <w:numPr>
          <w:ilvl w:val="0"/>
          <w:numId w:val="0"/>
        </w:numPr>
        <w:spacing w:before="0" w:after="0" w:line="360" w:lineRule="auto"/>
        <w:jc w:val="left"/>
        <w:rPr>
          <w:rFonts w:hint="eastAsia" w:ascii="宋体" w:hAnsi="宋体" w:eastAsia="宋体" w:cs="宋体"/>
          <w:b/>
          <w:bCs/>
          <w:color w:val="auto"/>
          <w:sz w:val="24"/>
          <w:szCs w:val="24"/>
          <w:highlight w:val="none"/>
        </w:rPr>
      </w:pPr>
      <w:bookmarkStart w:id="257" w:name="_Toc17166"/>
      <w:bookmarkStart w:id="258" w:name="_Toc17439"/>
      <w:bookmarkStart w:id="259" w:name="_Toc2191"/>
      <w:bookmarkStart w:id="260" w:name="_Toc10069"/>
      <w:bookmarkStart w:id="261" w:name="_Toc291089207"/>
      <w:bookmarkStart w:id="262" w:name="_Toc28677"/>
      <w:bookmarkStart w:id="263" w:name="_Toc18749550"/>
      <w:bookmarkStart w:id="264" w:name="_Toc247639864"/>
      <w:r>
        <w:rPr>
          <w:rFonts w:hint="eastAsia" w:ascii="宋体" w:hAnsi="宋体" w:eastAsia="宋体" w:cs="宋体"/>
          <w:b/>
          <w:bCs/>
          <w:color w:val="auto"/>
          <w:sz w:val="24"/>
          <w:szCs w:val="24"/>
          <w:highlight w:val="none"/>
        </w:rPr>
        <w:t>4. 投标</w:t>
      </w:r>
      <w:bookmarkEnd w:id="257"/>
      <w:bookmarkEnd w:id="258"/>
      <w:bookmarkEnd w:id="259"/>
      <w:bookmarkEnd w:id="260"/>
      <w:bookmarkEnd w:id="261"/>
      <w:bookmarkEnd w:id="262"/>
      <w:bookmarkEnd w:id="263"/>
      <w:bookmarkEnd w:id="264"/>
    </w:p>
    <w:p w14:paraId="496C6AF2">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265" w:name="_Toc9646"/>
      <w:bookmarkStart w:id="266" w:name="_Toc11738"/>
      <w:bookmarkStart w:id="267" w:name="_Toc18749552"/>
      <w:bookmarkStart w:id="268" w:name="_Toc247639866"/>
      <w:bookmarkStart w:id="269" w:name="_Toc11921"/>
      <w:bookmarkStart w:id="270" w:name="_Toc23898"/>
      <w:bookmarkStart w:id="271" w:name="_Toc31759"/>
      <w:bookmarkStart w:id="272" w:name="_Toc15961"/>
      <w:bookmarkStart w:id="273" w:name="_Toc2720"/>
      <w:bookmarkStart w:id="274" w:name="_Toc291089209"/>
      <w:r>
        <w:rPr>
          <w:rFonts w:hint="eastAsia" w:ascii="宋体" w:hAnsi="宋体" w:eastAsia="宋体" w:cs="宋体"/>
          <w:b/>
          <w:bCs/>
          <w:color w:val="auto"/>
          <w:sz w:val="24"/>
          <w:szCs w:val="24"/>
          <w:highlight w:val="none"/>
        </w:rPr>
        <w:t>4.1 投标文件的递交</w:t>
      </w:r>
      <w:bookmarkEnd w:id="265"/>
      <w:bookmarkEnd w:id="266"/>
      <w:bookmarkEnd w:id="267"/>
      <w:bookmarkEnd w:id="268"/>
      <w:bookmarkEnd w:id="269"/>
      <w:bookmarkEnd w:id="270"/>
      <w:bookmarkEnd w:id="271"/>
      <w:bookmarkEnd w:id="272"/>
      <w:bookmarkEnd w:id="273"/>
      <w:bookmarkEnd w:id="274"/>
    </w:p>
    <w:p w14:paraId="4CEB22C4">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4.1.1</w:t>
      </w:r>
      <w:r>
        <w:rPr>
          <w:rFonts w:hint="eastAsia" w:ascii="宋体" w:hAnsi="宋体" w:cs="宋体"/>
          <w:color w:val="auto"/>
          <w:sz w:val="24"/>
          <w:szCs w:val="24"/>
          <w:highlight w:val="none"/>
        </w:rPr>
        <w:t>本项目为全流程电子化交易项目，投标人应按规定在投标截止时间（同开标时间） 前通过《全国公共资源交易平台(河南省•平顶山市)》公共资源交易系统成功上传本项目加密电子投标文件。</w:t>
      </w:r>
    </w:p>
    <w:p w14:paraId="548FBC2B">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4.1.2 </w:t>
      </w:r>
      <w:r>
        <w:rPr>
          <w:rFonts w:hint="eastAsia" w:ascii="宋体" w:hAnsi="宋体" w:cs="宋体"/>
          <w:color w:val="auto"/>
          <w:sz w:val="24"/>
          <w:szCs w:val="24"/>
          <w:highlight w:val="none"/>
        </w:rPr>
        <w:t>本项目采用“远程不见面”开标方式，投标人无须到开标现场参加开标会议、无须现场 提交有关原件资料；</w:t>
      </w:r>
      <w:r>
        <w:rPr>
          <w:rFonts w:hint="eastAsia" w:ascii="宋体" w:hAnsi="宋体" w:cs="宋体"/>
          <w:b/>
          <w:bCs/>
          <w:color w:val="auto"/>
          <w:sz w:val="24"/>
          <w:szCs w:val="24"/>
          <w:highlight w:val="none"/>
        </w:rPr>
        <w:t>投标人登录《全国公共资源交易平台(河南省▪平顶山市)》公共资源交易系统（http://221.176.192.166:8080/ggzy/）下载“平顶山投标文件制作系统”，按采购文件要求制作电子投标文件</w:t>
      </w:r>
      <w:r>
        <w:rPr>
          <w:rFonts w:hint="eastAsia" w:ascii="宋体" w:hAnsi="宋体" w:cs="宋体"/>
          <w:color w:val="auto"/>
          <w:sz w:val="24"/>
          <w:szCs w:val="24"/>
          <w:highlight w:val="none"/>
        </w:rPr>
        <w:t>——点 击“项目信息——项目名称”——在系统操作导航栏点击“开标——不见面开标大厅”，准 时参加线上开标，进行远程解密、在线询问等。</w:t>
      </w:r>
    </w:p>
    <w:p w14:paraId="632BBF8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4.1.3 </w:t>
      </w:r>
      <w:r>
        <w:rPr>
          <w:rFonts w:hint="eastAsia" w:ascii="宋体" w:hAnsi="宋体" w:cs="宋体"/>
          <w:color w:val="auto"/>
          <w:sz w:val="24"/>
          <w:szCs w:val="24"/>
          <w:highlight w:val="none"/>
        </w:rPr>
        <w:t>招标人可以按本须知第2.2.2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39102796">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4.1.4 </w:t>
      </w:r>
      <w:r>
        <w:rPr>
          <w:rFonts w:hint="eastAsia" w:ascii="宋体" w:hAnsi="宋体" w:cs="宋体"/>
          <w:color w:val="auto"/>
          <w:sz w:val="24"/>
          <w:szCs w:val="24"/>
          <w:highlight w:val="none"/>
        </w:rPr>
        <w:t>投标人的电子投标文件应在招标文件规定的投标截止时间前到达交易系统。逾期到达交易系统的电子投标文件视为放弃本次投标。</w:t>
      </w:r>
    </w:p>
    <w:p w14:paraId="49CBC16C">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275" w:name="_Toc21059"/>
      <w:bookmarkStart w:id="276" w:name="_Toc247639867"/>
      <w:bookmarkStart w:id="277" w:name="_Toc26938"/>
      <w:bookmarkStart w:id="278" w:name="_Toc291089210"/>
      <w:bookmarkStart w:id="279" w:name="_Toc28580"/>
      <w:bookmarkStart w:id="280" w:name="_Toc18749553"/>
      <w:bookmarkStart w:id="281" w:name="_Toc14759"/>
      <w:bookmarkStart w:id="282" w:name="_Toc15604"/>
      <w:bookmarkStart w:id="283" w:name="_Toc24845"/>
      <w:bookmarkStart w:id="284" w:name="_Toc17730"/>
      <w:r>
        <w:rPr>
          <w:rFonts w:hint="eastAsia" w:ascii="宋体" w:hAnsi="宋体" w:eastAsia="宋体" w:cs="宋体"/>
          <w:b/>
          <w:bCs/>
          <w:color w:val="auto"/>
          <w:sz w:val="24"/>
          <w:szCs w:val="24"/>
          <w:highlight w:val="none"/>
        </w:rPr>
        <w:t>4.2 投标文件的修改与撤回</w:t>
      </w:r>
      <w:bookmarkEnd w:id="275"/>
      <w:bookmarkEnd w:id="276"/>
      <w:bookmarkEnd w:id="277"/>
      <w:bookmarkEnd w:id="278"/>
      <w:bookmarkEnd w:id="279"/>
      <w:bookmarkEnd w:id="280"/>
      <w:bookmarkEnd w:id="281"/>
      <w:bookmarkEnd w:id="282"/>
      <w:bookmarkEnd w:id="283"/>
      <w:bookmarkEnd w:id="284"/>
    </w:p>
    <w:p w14:paraId="2235CEB2">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4.2.1 在规定的投标截止时间前，</w:t>
      </w:r>
      <w:r>
        <w:rPr>
          <w:rFonts w:hint="eastAsia" w:ascii="宋体" w:hAnsi="宋体" w:cs="宋体"/>
          <w:color w:val="auto"/>
          <w:sz w:val="24"/>
          <w:szCs w:val="24"/>
          <w:highlight w:val="none"/>
        </w:rPr>
        <w:t>投标人可以修改或撤回已上传的电子投标文件，最终电子投标文件以投标截止时间前完成上传至平顶山市公共资源交易中心网交易系统最后一份投标文件为准。</w:t>
      </w:r>
    </w:p>
    <w:p w14:paraId="1F9CC84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4.2.2 </w:t>
      </w:r>
      <w:r>
        <w:rPr>
          <w:rFonts w:hint="eastAsia" w:ascii="宋体" w:hAnsi="宋体" w:cs="宋体"/>
          <w:color w:val="auto"/>
          <w:sz w:val="24"/>
          <w:szCs w:val="24"/>
          <w:highlight w:val="none"/>
        </w:rPr>
        <w:t>投标人应当在投标截止时间前完成电子投标文件的提交，投标截止时间前未完成电子投标文件提交、取得“投标文件提交回执单”的，视为撤回投标文件。</w:t>
      </w:r>
    </w:p>
    <w:p w14:paraId="4A129D0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4.2.3投标人补充、修改的内容并作为投标文件的组成部分。补充或修改应当按招标文件 要求签署、盖章、递交， 并应注明“修改”或“补充”字样。</w:t>
      </w:r>
    </w:p>
    <w:p w14:paraId="478020C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4.2.4投标人在递交投标文件后，可以撤回其投标，但投标人必须在规定的投标截止时间前进行。</w:t>
      </w:r>
    </w:p>
    <w:p w14:paraId="419DF15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4.2.5投标人不得在投标有效期内撤销投标文件，否则将依法自行承担不利后果。</w:t>
      </w:r>
    </w:p>
    <w:p w14:paraId="22B6733D">
      <w:pPr>
        <w:pStyle w:val="4"/>
        <w:numPr>
          <w:ilvl w:val="0"/>
          <w:numId w:val="0"/>
        </w:numPr>
        <w:spacing w:before="0" w:after="0" w:line="360" w:lineRule="auto"/>
        <w:jc w:val="left"/>
        <w:rPr>
          <w:rFonts w:hint="eastAsia" w:ascii="宋体" w:hAnsi="宋体" w:eastAsia="宋体" w:cs="宋体"/>
          <w:b/>
          <w:bCs/>
          <w:color w:val="auto"/>
          <w:sz w:val="24"/>
          <w:szCs w:val="24"/>
          <w:highlight w:val="none"/>
        </w:rPr>
      </w:pPr>
      <w:bookmarkStart w:id="285" w:name="_Toc247639868"/>
      <w:bookmarkStart w:id="286" w:name="_Toc18749554"/>
      <w:bookmarkStart w:id="287" w:name="_Toc3828"/>
      <w:bookmarkStart w:id="288" w:name="_Toc7769"/>
      <w:bookmarkStart w:id="289" w:name="_Toc291089211"/>
      <w:bookmarkStart w:id="290" w:name="_Toc12980"/>
      <w:bookmarkStart w:id="291" w:name="_Toc14835"/>
      <w:bookmarkStart w:id="292" w:name="_Toc19771"/>
      <w:r>
        <w:rPr>
          <w:rFonts w:hint="eastAsia" w:ascii="宋体" w:hAnsi="宋体" w:eastAsia="宋体" w:cs="宋体"/>
          <w:b/>
          <w:bCs/>
          <w:color w:val="auto"/>
          <w:sz w:val="24"/>
          <w:szCs w:val="24"/>
          <w:highlight w:val="none"/>
        </w:rPr>
        <w:t>5. 开标</w:t>
      </w:r>
      <w:bookmarkEnd w:id="285"/>
      <w:bookmarkEnd w:id="286"/>
      <w:bookmarkEnd w:id="287"/>
      <w:bookmarkEnd w:id="288"/>
      <w:bookmarkEnd w:id="289"/>
      <w:bookmarkEnd w:id="290"/>
      <w:bookmarkEnd w:id="291"/>
      <w:bookmarkEnd w:id="292"/>
    </w:p>
    <w:p w14:paraId="52BC2B91">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293" w:name="_Toc291089212"/>
      <w:bookmarkStart w:id="294" w:name="_Toc31210"/>
      <w:bookmarkStart w:id="295" w:name="_Toc32693"/>
      <w:bookmarkStart w:id="296" w:name="_Toc22145"/>
      <w:bookmarkStart w:id="297" w:name="_Toc18749555"/>
      <w:bookmarkStart w:id="298" w:name="_Toc3079"/>
      <w:bookmarkStart w:id="299" w:name="_Toc31795"/>
      <w:bookmarkStart w:id="300" w:name="_Toc29839"/>
      <w:bookmarkStart w:id="301" w:name="_Toc247639869"/>
      <w:bookmarkStart w:id="302" w:name="_Toc23937"/>
      <w:r>
        <w:rPr>
          <w:rFonts w:hint="eastAsia" w:ascii="宋体" w:hAnsi="宋体" w:eastAsia="宋体" w:cs="宋体"/>
          <w:b/>
          <w:bCs/>
          <w:color w:val="auto"/>
          <w:sz w:val="24"/>
          <w:szCs w:val="24"/>
          <w:highlight w:val="none"/>
        </w:rPr>
        <w:t>5.1 开标时间和地点</w:t>
      </w:r>
      <w:bookmarkEnd w:id="293"/>
      <w:bookmarkEnd w:id="294"/>
      <w:bookmarkEnd w:id="295"/>
      <w:bookmarkEnd w:id="296"/>
      <w:bookmarkEnd w:id="297"/>
      <w:bookmarkEnd w:id="298"/>
      <w:bookmarkEnd w:id="299"/>
      <w:bookmarkEnd w:id="300"/>
      <w:bookmarkEnd w:id="301"/>
      <w:bookmarkEnd w:id="302"/>
    </w:p>
    <w:p w14:paraId="5D570EA4">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5.1.1</w:t>
      </w:r>
      <w:r>
        <w:rPr>
          <w:rFonts w:hint="eastAsia" w:ascii="宋体" w:hAnsi="宋体" w:cs="宋体"/>
          <w:color w:val="auto"/>
          <w:sz w:val="24"/>
          <w:szCs w:val="24"/>
          <w:highlight w:val="none"/>
        </w:rPr>
        <w:t>投标人在</w:t>
      </w:r>
      <w:r>
        <w:rPr>
          <w:rFonts w:hint="eastAsia" w:ascii="宋体" w:hAnsi="宋体" w:cs="宋体"/>
          <w:color w:val="auto"/>
          <w:kern w:val="0"/>
          <w:sz w:val="24"/>
          <w:szCs w:val="24"/>
          <w:highlight w:val="none"/>
        </w:rPr>
        <w:t>本章投标人须知前附表规定的投标截止时间（开标时间）</w:t>
      </w:r>
      <w:r>
        <w:rPr>
          <w:rFonts w:hint="eastAsia" w:ascii="宋体" w:hAnsi="宋体" w:cs="宋体"/>
          <w:color w:val="auto"/>
          <w:sz w:val="24"/>
          <w:szCs w:val="24"/>
          <w:highlight w:val="none"/>
        </w:rPr>
        <w:t>前自行登录</w:t>
      </w:r>
      <w:r>
        <w:rPr>
          <w:rFonts w:hint="eastAsia" w:ascii="宋体" w:hAnsi="宋体" w:cs="宋体"/>
          <w:bCs/>
          <w:color w:val="auto"/>
          <w:sz w:val="24"/>
          <w:szCs w:val="24"/>
          <w:highlight w:val="none"/>
        </w:rPr>
        <w:t>网上不见面开标大厅进行签到</w:t>
      </w:r>
      <w:r>
        <w:rPr>
          <w:rFonts w:hint="eastAsia" w:ascii="宋体" w:hAnsi="宋体" w:cs="宋体"/>
          <w:color w:val="auto"/>
          <w:sz w:val="24"/>
          <w:szCs w:val="24"/>
          <w:highlight w:val="none"/>
        </w:rPr>
        <w:t>，本项目</w:t>
      </w:r>
      <w:r>
        <w:rPr>
          <w:rFonts w:hint="eastAsia" w:ascii="宋体" w:hAnsi="宋体" w:cs="宋体"/>
          <w:color w:val="auto"/>
          <w:kern w:val="0"/>
          <w:sz w:val="24"/>
          <w:szCs w:val="24"/>
          <w:highlight w:val="none"/>
        </w:rPr>
        <w:t>开标方式为“不见面”开标，投标人的法定代表人或其委托代理人不用到场。</w:t>
      </w:r>
    </w:p>
    <w:p w14:paraId="1B0A5D97">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303" w:name="_Toc15731"/>
      <w:bookmarkStart w:id="304" w:name="_Toc291089213"/>
      <w:bookmarkStart w:id="305" w:name="_Toc20843"/>
      <w:bookmarkStart w:id="306" w:name="_Toc12859"/>
      <w:bookmarkStart w:id="307" w:name="_Toc26340"/>
      <w:bookmarkStart w:id="308" w:name="_Toc18817"/>
      <w:bookmarkStart w:id="309" w:name="_Toc247639870"/>
      <w:bookmarkStart w:id="310" w:name="_Toc22190"/>
      <w:bookmarkStart w:id="311" w:name="_Toc27976"/>
      <w:bookmarkStart w:id="312" w:name="_Toc18749556"/>
      <w:r>
        <w:rPr>
          <w:rFonts w:hint="eastAsia" w:ascii="宋体" w:hAnsi="宋体" w:eastAsia="宋体" w:cs="宋体"/>
          <w:b/>
          <w:bCs/>
          <w:color w:val="auto"/>
          <w:sz w:val="24"/>
          <w:szCs w:val="24"/>
          <w:highlight w:val="none"/>
        </w:rPr>
        <w:t>5.2 开标程序</w:t>
      </w:r>
      <w:bookmarkEnd w:id="303"/>
      <w:bookmarkEnd w:id="304"/>
      <w:bookmarkEnd w:id="305"/>
      <w:bookmarkEnd w:id="306"/>
      <w:bookmarkEnd w:id="307"/>
      <w:bookmarkEnd w:id="308"/>
      <w:bookmarkEnd w:id="309"/>
      <w:bookmarkEnd w:id="310"/>
      <w:bookmarkEnd w:id="311"/>
      <w:bookmarkEnd w:id="312"/>
    </w:p>
    <w:p w14:paraId="64FBBCBF">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5.2.1本项目采用不见面开标，投标人采用网上远程异地解密。</w:t>
      </w:r>
    </w:p>
    <w:p w14:paraId="476BFACE">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5.2.2电子化投标文件采用双重加密方式。开标时，首先由投标人使用CA证书，在规定时间内对其电子化投标文件进行首次解密，投标人解密完成后，再由中介服务机构使用CA证书对投标文件进行再次解密。</w:t>
      </w:r>
    </w:p>
    <w:p w14:paraId="74123F1C">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5.2.3待所有投标人投标文件解密完成后，由中介服务机构操作，对所有已解密投标文件进行唱标。</w:t>
      </w:r>
      <w:bookmarkStart w:id="313" w:name="_Toc247639871"/>
    </w:p>
    <w:p w14:paraId="540BDF32">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5.2.4</w:t>
      </w:r>
      <w:r>
        <w:rPr>
          <w:rFonts w:hint="eastAsia" w:ascii="宋体" w:hAnsi="宋体" w:cs="宋体"/>
          <w:color w:val="auto"/>
          <w:sz w:val="24"/>
          <w:szCs w:val="24"/>
          <w:highlight w:val="none"/>
        </w:rPr>
        <w:t xml:space="preserve"> 电子化投标文件解密异常的处理</w:t>
      </w:r>
    </w:p>
    <w:p w14:paraId="036BFF91">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如出现投标人的电子投标文件无法解密的情况，投标人应及时联系中介服务机构说明。投标文件解密异常，按以下步骤进行处理：</w:t>
      </w:r>
    </w:p>
    <w:p w14:paraId="280F80A8">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（1）首先由技术人员进行问题排查。</w:t>
      </w:r>
    </w:p>
    <w:p w14:paraId="2CD77A76">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（2）经技术人员排查后，是投标人文件自身问题导致投标文件无法解密的，该投标文件将不予接收、解密，会议继续进行。</w:t>
      </w:r>
    </w:p>
    <w:p w14:paraId="559854A1">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会议，待问题解决后继续。</w:t>
      </w:r>
    </w:p>
    <w:p w14:paraId="080DFB83">
      <w:pPr>
        <w:pStyle w:val="20"/>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5.2.5开标异议</w:t>
      </w:r>
    </w:p>
    <w:p w14:paraId="2F6348FA">
      <w:pPr>
        <w:pStyle w:val="21"/>
        <w:spacing w:line="360" w:lineRule="auto"/>
        <w:ind w:left="0" w:leftChars="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投标人对开标有异议的，应当在开标现场提出，采购人当场作出答复，并制作记录。</w:t>
      </w:r>
    </w:p>
    <w:p w14:paraId="6B548A2D">
      <w:pPr>
        <w:pStyle w:val="4"/>
        <w:numPr>
          <w:ilvl w:val="0"/>
          <w:numId w:val="0"/>
        </w:numPr>
        <w:spacing w:before="0" w:after="0" w:line="360" w:lineRule="auto"/>
        <w:jc w:val="left"/>
        <w:rPr>
          <w:rFonts w:hint="eastAsia" w:ascii="宋体" w:hAnsi="宋体" w:eastAsia="宋体" w:cs="宋体"/>
          <w:b/>
          <w:bCs/>
          <w:color w:val="auto"/>
          <w:sz w:val="24"/>
          <w:szCs w:val="24"/>
          <w:highlight w:val="none"/>
        </w:rPr>
      </w:pPr>
      <w:bookmarkStart w:id="314" w:name="_Toc3421"/>
      <w:bookmarkStart w:id="315" w:name="_Toc6965"/>
      <w:bookmarkStart w:id="316" w:name="_Toc18749557"/>
      <w:bookmarkStart w:id="317" w:name="_Toc8163"/>
      <w:bookmarkStart w:id="318" w:name="_Toc32686"/>
      <w:bookmarkStart w:id="319" w:name="_Toc291089214"/>
      <w:bookmarkStart w:id="320" w:name="_Toc9371"/>
      <w:r>
        <w:rPr>
          <w:rFonts w:hint="eastAsia" w:ascii="宋体" w:hAnsi="宋体" w:eastAsia="宋体" w:cs="宋体"/>
          <w:b/>
          <w:bCs/>
          <w:color w:val="auto"/>
          <w:sz w:val="24"/>
          <w:szCs w:val="24"/>
          <w:highlight w:val="none"/>
        </w:rPr>
        <w:t>6. 评标</w:t>
      </w:r>
      <w:bookmarkEnd w:id="313"/>
      <w:bookmarkEnd w:id="314"/>
      <w:bookmarkEnd w:id="315"/>
      <w:bookmarkEnd w:id="316"/>
      <w:bookmarkEnd w:id="317"/>
      <w:bookmarkEnd w:id="318"/>
      <w:bookmarkEnd w:id="319"/>
      <w:bookmarkEnd w:id="320"/>
    </w:p>
    <w:p w14:paraId="10305455">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321" w:name="_Toc8790"/>
      <w:bookmarkStart w:id="322" w:name="_Toc14373"/>
      <w:bookmarkStart w:id="323" w:name="_Toc247639872"/>
      <w:bookmarkStart w:id="324" w:name="_Toc291089215"/>
      <w:bookmarkStart w:id="325" w:name="_Toc18749558"/>
      <w:bookmarkStart w:id="326" w:name="_Toc15881"/>
      <w:bookmarkStart w:id="327" w:name="_Toc1853"/>
      <w:bookmarkStart w:id="328" w:name="_Toc5129"/>
      <w:bookmarkStart w:id="329" w:name="_Toc18157"/>
      <w:bookmarkStart w:id="330" w:name="_Toc23526"/>
      <w:r>
        <w:rPr>
          <w:rFonts w:hint="eastAsia" w:ascii="宋体" w:hAnsi="宋体" w:eastAsia="宋体" w:cs="宋体"/>
          <w:b/>
          <w:bCs/>
          <w:color w:val="auto"/>
          <w:sz w:val="24"/>
          <w:szCs w:val="24"/>
          <w:highlight w:val="none"/>
        </w:rPr>
        <w:t>6.1 评标委员会</w:t>
      </w:r>
      <w:bookmarkEnd w:id="321"/>
      <w:bookmarkEnd w:id="322"/>
      <w:bookmarkEnd w:id="323"/>
      <w:bookmarkEnd w:id="324"/>
      <w:bookmarkEnd w:id="325"/>
      <w:bookmarkEnd w:id="326"/>
      <w:bookmarkEnd w:id="327"/>
      <w:bookmarkEnd w:id="328"/>
      <w:bookmarkEnd w:id="329"/>
      <w:bookmarkEnd w:id="330"/>
    </w:p>
    <w:p w14:paraId="44D4BFAC">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6.1.1 评标由采购人依法组建的评标委员会负责。评标委员会由采购人代表，以及相关技术、经济等方面的专家组成。评标委员会成员人数以及技术、经济等方面专家的确定方式见投标人须知前附表。</w:t>
      </w:r>
    </w:p>
    <w:p w14:paraId="1A885F20">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6.1.2 评标委员会成员有下列情形之一的，应当回避：</w:t>
      </w:r>
    </w:p>
    <w:p w14:paraId="77548D85">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（1）采购人或投标人的主要负责人的近亲属；</w:t>
      </w:r>
    </w:p>
    <w:p w14:paraId="585A8F43">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（2）项目主管部门或者行政监督部门的人员；</w:t>
      </w:r>
    </w:p>
    <w:p w14:paraId="4386A7F5">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（3）与投标人有经济利益关系，可能影响对投标公正评审的；</w:t>
      </w:r>
    </w:p>
    <w:p w14:paraId="54EC5F34">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（4）曾因在招标、评标以及其他与招标投标有关活动中从事违法行为而受过行政处罚或刑事处罚的。</w:t>
      </w:r>
    </w:p>
    <w:p w14:paraId="1B8BDDBF">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331" w:name="_Toc10878"/>
      <w:bookmarkStart w:id="332" w:name="_Toc11753"/>
      <w:bookmarkStart w:id="333" w:name="_Toc18749559"/>
      <w:bookmarkStart w:id="334" w:name="_Toc23014"/>
      <w:bookmarkStart w:id="335" w:name="_Toc291089216"/>
      <w:bookmarkStart w:id="336" w:name="_Toc32610"/>
      <w:bookmarkStart w:id="337" w:name="_Toc247639873"/>
      <w:bookmarkStart w:id="338" w:name="_Toc7991"/>
      <w:bookmarkStart w:id="339" w:name="_Toc5983"/>
      <w:bookmarkStart w:id="340" w:name="_Toc27153"/>
      <w:r>
        <w:rPr>
          <w:rFonts w:hint="eastAsia" w:ascii="宋体" w:hAnsi="宋体" w:eastAsia="宋体" w:cs="宋体"/>
          <w:b/>
          <w:bCs/>
          <w:color w:val="auto"/>
          <w:sz w:val="24"/>
          <w:szCs w:val="24"/>
          <w:highlight w:val="none"/>
        </w:rPr>
        <w:t>6.2 评标原则</w:t>
      </w:r>
      <w:bookmarkEnd w:id="331"/>
      <w:bookmarkEnd w:id="332"/>
      <w:bookmarkEnd w:id="333"/>
      <w:bookmarkEnd w:id="334"/>
      <w:bookmarkEnd w:id="335"/>
      <w:bookmarkEnd w:id="336"/>
      <w:bookmarkEnd w:id="337"/>
      <w:bookmarkEnd w:id="338"/>
      <w:bookmarkEnd w:id="339"/>
      <w:bookmarkEnd w:id="340"/>
    </w:p>
    <w:p w14:paraId="6901AD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6.2.1公开、公平、公正，科学、择优。</w:t>
      </w:r>
    </w:p>
    <w:p w14:paraId="3D8D564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6.2.2质量好、信誉高、价格合理、售后服务好。</w:t>
      </w:r>
    </w:p>
    <w:p w14:paraId="1F030BFE">
      <w:pPr>
        <w:spacing w:line="360" w:lineRule="auto"/>
        <w:ind w:firstLine="480" w:firstLineChars="200"/>
        <w:rPr>
          <w:rFonts w:hint="eastAsia" w:ascii="宋体" w:hAnsi="宋体" w:cs="宋体"/>
          <w:color w:val="auto"/>
          <w:sz w:val="24"/>
          <w:szCs w:val="24"/>
          <w:highlight w:val="none"/>
        </w:rPr>
      </w:pPr>
      <w:bookmarkStart w:id="341" w:name="12"/>
      <w:bookmarkEnd w:id="341"/>
      <w:r>
        <w:rPr>
          <w:rFonts w:hint="eastAsia" w:ascii="宋体" w:hAnsi="宋体" w:cs="宋体"/>
          <w:color w:val="auto"/>
          <w:sz w:val="24"/>
          <w:szCs w:val="24"/>
          <w:highlight w:val="none"/>
        </w:rPr>
        <w:t>6.2.3评标时，投标报价是评标的重要依据，但不是唯一依据。</w:t>
      </w:r>
    </w:p>
    <w:p w14:paraId="5A81555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6.2.4评标委员会及其成员不得有下列行为：</w:t>
      </w:r>
    </w:p>
    <w:p w14:paraId="49F842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（一）确定参与评标至评标结束前私自接触投标人；</w:t>
      </w:r>
    </w:p>
    <w:p w14:paraId="0710E0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（二）接受投标人提出的与投标文件不一致的澄清或者说明，政府采购法（87号令）第五十一条规定的情形除外；</w:t>
      </w:r>
    </w:p>
    <w:p w14:paraId="749AA20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（三）违反评标纪律发表倾向性意见或者征询采购人的倾向性意见；</w:t>
      </w:r>
    </w:p>
    <w:p w14:paraId="7924091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（四）对需要专业判断的主观评审因素协商评分；</w:t>
      </w:r>
    </w:p>
    <w:p w14:paraId="1C7F684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（五）在评标过程中擅离职守，影响评标程序正常进行的；</w:t>
      </w:r>
    </w:p>
    <w:p w14:paraId="68726A1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（六）记录、复制或者带走任何评标资料；</w:t>
      </w:r>
    </w:p>
    <w:p w14:paraId="5183DA2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（七）其他不遵守评标纪律的行为。</w:t>
      </w:r>
    </w:p>
    <w:p w14:paraId="7663BBB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评标委员会成员有前款第一至五项行为之一的，其评审意见无效。</w:t>
      </w:r>
    </w:p>
    <w:p w14:paraId="67CCD475">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342" w:name="_Toc291089217"/>
      <w:bookmarkStart w:id="343" w:name="_Toc29815"/>
      <w:bookmarkStart w:id="344" w:name="_Toc247639874"/>
      <w:bookmarkStart w:id="345" w:name="_Toc6716"/>
      <w:bookmarkStart w:id="346" w:name="_Toc17243"/>
      <w:bookmarkStart w:id="347" w:name="_Toc10361"/>
      <w:bookmarkStart w:id="348" w:name="_Toc31086"/>
      <w:bookmarkStart w:id="349" w:name="_Toc18749560"/>
      <w:bookmarkStart w:id="350" w:name="_Toc16964"/>
      <w:bookmarkStart w:id="351" w:name="_Toc849"/>
      <w:r>
        <w:rPr>
          <w:rFonts w:hint="eastAsia" w:ascii="宋体" w:hAnsi="宋体" w:eastAsia="宋体" w:cs="宋体"/>
          <w:b/>
          <w:bCs/>
          <w:color w:val="auto"/>
          <w:sz w:val="24"/>
          <w:szCs w:val="24"/>
          <w:highlight w:val="none"/>
        </w:rPr>
        <w:t>6.3 评标</w:t>
      </w:r>
      <w:bookmarkEnd w:id="342"/>
      <w:bookmarkEnd w:id="343"/>
      <w:bookmarkEnd w:id="344"/>
      <w:bookmarkEnd w:id="345"/>
      <w:bookmarkEnd w:id="346"/>
      <w:bookmarkEnd w:id="347"/>
      <w:bookmarkEnd w:id="348"/>
      <w:bookmarkEnd w:id="349"/>
      <w:bookmarkEnd w:id="350"/>
      <w:bookmarkEnd w:id="351"/>
    </w:p>
    <w:p w14:paraId="0566A011">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6.3.1评标委员会按照第三章“评标办法”规定的方法、评审因素、标准和程序对投标文件进行评审。第三章“评标办法”没有规定的方法、评审因素和标准，不作为评标依据。</w:t>
      </w:r>
    </w:p>
    <w:p w14:paraId="5971F86A">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6.3.2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28CEC18B">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6.3.3如评标委员会对需要回复的投标人回复内容有异议的，经过几次回复仍不清楚的，需在监督下进行免提电话进行质疑。</w:t>
      </w:r>
    </w:p>
    <w:p w14:paraId="7178E58D">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6.3.4评标时如因系统异常、停电、电脑病毒、网络堵塞等原因无法正常进行的，由技术人员排查解决，短时间无法解决的，经监督部门同意后，暂停评标活动，待问题解决后继续评标。</w:t>
      </w:r>
    </w:p>
    <w:p w14:paraId="42FEE846">
      <w:pPr>
        <w:autoSpaceDE w:val="0"/>
        <w:autoSpaceDN w:val="0"/>
        <w:adjustRightInd w:val="0"/>
        <w:spacing w:line="360" w:lineRule="auto"/>
        <w:jc w:val="left"/>
        <w:rPr>
          <w:rFonts w:hint="eastAsia" w:ascii="宋体" w:hAnsi="宋体" w:cs="宋体"/>
          <w:b/>
          <w:color w:val="auto"/>
          <w:kern w:val="0"/>
          <w:sz w:val="24"/>
          <w:szCs w:val="24"/>
          <w:highlight w:val="none"/>
        </w:rPr>
      </w:pPr>
      <w:bookmarkStart w:id="352" w:name="_Toc19878"/>
      <w:bookmarkStart w:id="353" w:name="_Toc291089219"/>
      <w:bookmarkStart w:id="354" w:name="_Toc6025"/>
      <w:bookmarkStart w:id="355" w:name="_Toc30379"/>
      <w:bookmarkStart w:id="356" w:name="_Toc247639875"/>
      <w:bookmarkStart w:id="357" w:name="_Toc19118"/>
      <w:bookmarkStart w:id="358" w:name="_Toc12348"/>
      <w:bookmarkStart w:id="359" w:name="_Toc18749561"/>
      <w:r>
        <w:rPr>
          <w:rFonts w:hint="eastAsia" w:ascii="宋体" w:hAnsi="宋体" w:cs="宋体"/>
          <w:b/>
          <w:bCs/>
          <w:color w:val="auto"/>
          <w:sz w:val="24"/>
          <w:szCs w:val="24"/>
          <w:highlight w:val="none"/>
        </w:rPr>
        <w:t>6.4</w:t>
      </w:r>
      <w:r>
        <w:rPr>
          <w:rFonts w:hint="eastAsia" w:ascii="宋体" w:hAnsi="宋体" w:cs="宋体"/>
          <w:b/>
          <w:color w:val="auto"/>
          <w:kern w:val="0"/>
          <w:sz w:val="24"/>
          <w:szCs w:val="24"/>
          <w:highlight w:val="none"/>
        </w:rPr>
        <w:t xml:space="preserve"> 在招标采购中，出现下列情形之一的，应予废标：</w:t>
      </w:r>
    </w:p>
    <w:p w14:paraId="6885AC49">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6.4.1符合专业条件的投标人或者对招标文件作实质响应的投标人不足三家的；</w:t>
      </w:r>
    </w:p>
    <w:p w14:paraId="2CF1B111">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6.4.2出现影响采购公正的违法、违规行为的；</w:t>
      </w:r>
    </w:p>
    <w:p w14:paraId="14CE8790">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6.4.3投标人的报价均超过了采购预算，采购人不能支付的；</w:t>
      </w:r>
    </w:p>
    <w:p w14:paraId="510ABAED">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6.4.4因重大变故，采购任务取消的。</w:t>
      </w:r>
    </w:p>
    <w:p w14:paraId="52ECA345">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 xml:space="preserve">6.5 </w:t>
      </w:r>
      <w:r>
        <w:rPr>
          <w:rFonts w:hint="eastAsia" w:ascii="宋体" w:hAnsi="宋体" w:cs="宋体"/>
          <w:color w:val="auto"/>
          <w:kern w:val="0"/>
          <w:sz w:val="24"/>
          <w:szCs w:val="24"/>
          <w:highlight w:val="none"/>
        </w:rPr>
        <w:t>废标后，除采购任务取消情形外，应当重新组织招标；需要采取其他方式采购的，应当在采购活动开始前获得本级人民政府采购监督管理部门或者政府有关部门批准。</w:t>
      </w:r>
    </w:p>
    <w:p w14:paraId="6A48D95A">
      <w:pPr>
        <w:pStyle w:val="4"/>
        <w:numPr>
          <w:ilvl w:val="0"/>
          <w:numId w:val="0"/>
        </w:numPr>
        <w:spacing w:before="0" w:after="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合同授予</w:t>
      </w:r>
      <w:bookmarkEnd w:id="352"/>
      <w:bookmarkEnd w:id="353"/>
      <w:bookmarkEnd w:id="354"/>
      <w:bookmarkEnd w:id="355"/>
      <w:bookmarkEnd w:id="356"/>
      <w:bookmarkEnd w:id="357"/>
      <w:bookmarkEnd w:id="358"/>
      <w:bookmarkEnd w:id="359"/>
    </w:p>
    <w:p w14:paraId="7593C729">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360" w:name="_Toc247639876"/>
      <w:bookmarkStart w:id="361" w:name="_Toc11239"/>
      <w:bookmarkStart w:id="362" w:name="_Toc22913"/>
      <w:bookmarkStart w:id="363" w:name="_Toc26095"/>
      <w:bookmarkStart w:id="364" w:name="_Toc1292"/>
      <w:bookmarkStart w:id="365" w:name="_Toc18749562"/>
      <w:bookmarkStart w:id="366" w:name="_Toc291089220"/>
      <w:bookmarkStart w:id="367" w:name="_Toc9745"/>
      <w:bookmarkStart w:id="368" w:name="_Toc8036"/>
      <w:bookmarkStart w:id="369" w:name="_Toc31721"/>
      <w:r>
        <w:rPr>
          <w:rFonts w:hint="eastAsia" w:ascii="宋体" w:hAnsi="宋体" w:eastAsia="宋体" w:cs="宋体"/>
          <w:b/>
          <w:bCs/>
          <w:color w:val="auto"/>
          <w:sz w:val="24"/>
          <w:szCs w:val="24"/>
          <w:highlight w:val="none"/>
        </w:rPr>
        <w:t>7.1 定标方式</w:t>
      </w:r>
      <w:bookmarkEnd w:id="360"/>
      <w:bookmarkEnd w:id="361"/>
      <w:bookmarkEnd w:id="362"/>
      <w:bookmarkEnd w:id="363"/>
      <w:bookmarkEnd w:id="364"/>
      <w:bookmarkEnd w:id="365"/>
      <w:bookmarkEnd w:id="366"/>
      <w:bookmarkEnd w:id="367"/>
      <w:bookmarkEnd w:id="368"/>
      <w:bookmarkEnd w:id="369"/>
    </w:p>
    <w:p w14:paraId="1612E9E5">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除投标人须知前附表规定评标委员会直接确定中标人外，采购人依据评标委员会推荐的中标候选人确定中标人，评标委员会推荐中标候选人的人数见投标人须知前附表。</w:t>
      </w:r>
    </w:p>
    <w:p w14:paraId="0956C9D4">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370" w:name="_Toc291089221"/>
      <w:bookmarkStart w:id="371" w:name="_Toc22606"/>
      <w:bookmarkStart w:id="372" w:name="_Toc9924"/>
      <w:bookmarkStart w:id="373" w:name="_Toc23524"/>
      <w:bookmarkStart w:id="374" w:name="_Toc18749563"/>
      <w:bookmarkStart w:id="375" w:name="_Toc14459"/>
      <w:bookmarkStart w:id="376" w:name="_Toc26197"/>
      <w:bookmarkStart w:id="377" w:name="_Toc29832"/>
      <w:bookmarkStart w:id="378" w:name="_Toc247639877"/>
      <w:bookmarkStart w:id="379" w:name="_Toc16168"/>
      <w:r>
        <w:rPr>
          <w:rFonts w:hint="eastAsia" w:ascii="宋体" w:hAnsi="宋体" w:eastAsia="宋体" w:cs="宋体"/>
          <w:b/>
          <w:bCs/>
          <w:color w:val="auto"/>
          <w:sz w:val="24"/>
          <w:szCs w:val="24"/>
          <w:highlight w:val="none"/>
        </w:rPr>
        <w:t>7.2 中标通知</w:t>
      </w:r>
      <w:bookmarkEnd w:id="370"/>
      <w:bookmarkEnd w:id="371"/>
      <w:bookmarkEnd w:id="372"/>
      <w:bookmarkEnd w:id="373"/>
      <w:bookmarkEnd w:id="374"/>
      <w:bookmarkEnd w:id="375"/>
      <w:bookmarkEnd w:id="376"/>
      <w:bookmarkEnd w:id="377"/>
      <w:bookmarkEnd w:id="378"/>
      <w:bookmarkEnd w:id="379"/>
    </w:p>
    <w:p w14:paraId="15C65C82">
      <w:pPr>
        <w:spacing w:line="360" w:lineRule="auto"/>
        <w:ind w:firstLine="480" w:firstLineChars="200"/>
        <w:rPr>
          <w:rFonts w:hint="eastAsia" w:ascii="宋体" w:hAnsi="宋体" w:cs="宋体"/>
          <w:color w:val="auto"/>
          <w:sz w:val="24"/>
          <w:szCs w:val="24"/>
          <w:highlight w:val="none"/>
        </w:rPr>
      </w:pPr>
      <w:bookmarkStart w:id="380" w:name="_Toc27455"/>
      <w:bookmarkStart w:id="381" w:name="_Toc15210"/>
      <w:bookmarkStart w:id="382" w:name="_Toc291089222"/>
      <w:bookmarkStart w:id="383" w:name="_Toc12463"/>
      <w:bookmarkStart w:id="384" w:name="_Toc1381"/>
      <w:bookmarkStart w:id="385" w:name="_Toc247639878"/>
      <w:bookmarkStart w:id="386" w:name="_Toc5204"/>
      <w:bookmarkStart w:id="387" w:name="_Toc20456"/>
      <w:bookmarkStart w:id="388" w:name="_Toc18749564"/>
      <w:r>
        <w:rPr>
          <w:rFonts w:hint="eastAsia" w:ascii="宋体" w:hAnsi="宋体" w:cs="宋体"/>
          <w:color w:val="auto"/>
          <w:sz w:val="24"/>
          <w:szCs w:val="24"/>
          <w:highlight w:val="none"/>
        </w:rPr>
        <w:t>7.2.1在投标有效期内，中标结果以书面形式通知中标人。</w:t>
      </w:r>
    </w:p>
    <w:p w14:paraId="36C6F52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7.2.2中标通知书是合同的组成部分。</w:t>
      </w:r>
    </w:p>
    <w:p w14:paraId="4D59F2D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7.2.3对未通过资格审查的投标人，应当告知其未通过的原因。</w:t>
      </w:r>
    </w:p>
    <w:p w14:paraId="20F069A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7.2.4中标通知书发出后采购人不得违法改变中标结果，中标人无正当理由不得放弃中标。</w:t>
      </w:r>
    </w:p>
    <w:p w14:paraId="637140F1">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389" w:name="_Toc9541"/>
      <w:r>
        <w:rPr>
          <w:rFonts w:hint="eastAsia" w:ascii="宋体" w:hAnsi="宋体" w:eastAsia="宋体" w:cs="宋体"/>
          <w:b/>
          <w:bCs/>
          <w:color w:val="auto"/>
          <w:sz w:val="24"/>
          <w:szCs w:val="24"/>
          <w:highlight w:val="none"/>
        </w:rPr>
        <w:t>7.3 履约担保</w:t>
      </w:r>
      <w:bookmarkEnd w:id="380"/>
      <w:bookmarkEnd w:id="381"/>
      <w:bookmarkEnd w:id="382"/>
      <w:bookmarkEnd w:id="383"/>
      <w:bookmarkEnd w:id="384"/>
      <w:bookmarkEnd w:id="385"/>
      <w:bookmarkEnd w:id="386"/>
      <w:bookmarkEnd w:id="387"/>
      <w:bookmarkEnd w:id="388"/>
      <w:bookmarkEnd w:id="389"/>
    </w:p>
    <w:p w14:paraId="596B1CD6">
      <w:pPr>
        <w:pStyle w:val="5"/>
        <w:numPr>
          <w:ilvl w:val="0"/>
          <w:numId w:val="0"/>
        </w:numPr>
        <w:spacing w:before="0" w:after="0" w:line="360" w:lineRule="auto"/>
        <w:ind w:firstLine="480" w:firstLineChars="200"/>
        <w:rPr>
          <w:rFonts w:hint="eastAsia" w:ascii="宋体" w:hAnsi="宋体" w:eastAsia="宋体" w:cs="宋体"/>
          <w:color w:val="auto"/>
          <w:sz w:val="24"/>
          <w:szCs w:val="24"/>
          <w:highlight w:val="none"/>
          <w:lang w:eastAsia="zh-CN"/>
        </w:rPr>
      </w:pPr>
      <w:bookmarkStart w:id="390" w:name="_Toc10445"/>
      <w:bookmarkStart w:id="391" w:name="_Toc291089223"/>
      <w:bookmarkStart w:id="392" w:name="_Toc25405"/>
      <w:bookmarkStart w:id="393" w:name="_Toc247639879"/>
      <w:bookmarkStart w:id="394" w:name="_Toc32440"/>
      <w:bookmarkStart w:id="395" w:name="_Toc15460"/>
      <w:bookmarkStart w:id="396" w:name="_Toc1703"/>
      <w:bookmarkStart w:id="397" w:name="_Toc9767"/>
      <w:bookmarkStart w:id="398" w:name="_Toc13584"/>
      <w:bookmarkStart w:id="399" w:name="_Toc18749565"/>
      <w:r>
        <w:rPr>
          <w:rFonts w:hint="eastAsia" w:ascii="宋体" w:hAnsi="宋体" w:eastAsia="宋体" w:cs="宋体"/>
          <w:color w:val="auto"/>
          <w:sz w:val="24"/>
          <w:szCs w:val="24"/>
          <w:highlight w:val="none"/>
          <w:lang w:eastAsia="zh-CN"/>
        </w:rPr>
        <w:t>无</w:t>
      </w:r>
    </w:p>
    <w:p w14:paraId="1C84C0D1">
      <w:pPr>
        <w:pStyle w:val="5"/>
        <w:numPr>
          <w:ilvl w:val="0"/>
          <w:numId w:val="0"/>
        </w:numPr>
        <w:spacing w:before="0" w:after="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7.4 签订合同</w:t>
      </w:r>
      <w:bookmarkEnd w:id="390"/>
      <w:bookmarkEnd w:id="391"/>
      <w:bookmarkEnd w:id="392"/>
      <w:bookmarkEnd w:id="393"/>
      <w:bookmarkEnd w:id="394"/>
      <w:bookmarkEnd w:id="395"/>
      <w:bookmarkEnd w:id="396"/>
      <w:bookmarkEnd w:id="397"/>
      <w:bookmarkEnd w:id="398"/>
      <w:bookmarkEnd w:id="399"/>
    </w:p>
    <w:p w14:paraId="0E13CB21">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7.4.1 采购人和中标人应当自中标通知书发出之日起1日内，按照招标文件和中标人的投标文件订立书面合同。所签订的合同不得对招标文件确定的事项和中标人投标文件作实质性修改。</w:t>
      </w:r>
    </w:p>
    <w:p w14:paraId="254317C6">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7.4.2招标文件、中标人投标文件以及中标人在评标时澄清问题的答复内容等均作为合同的不可分割的组成部分。</w:t>
      </w:r>
    </w:p>
    <w:p w14:paraId="1DACC89E">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7.4.3</w:t>
      </w:r>
      <w:r>
        <w:rPr>
          <w:rFonts w:hint="eastAsia" w:ascii="宋体" w:hAnsi="宋体" w:cs="宋体"/>
          <w:color w:val="auto"/>
          <w:sz w:val="24"/>
          <w:szCs w:val="24"/>
          <w:highlight w:val="none"/>
        </w:rPr>
        <w:t>如中标人不按约定谈签合同，代理机构和采购人将报请取消其中标资格，并没收其投标保证金。招标代理机构和采购人可将该标授予下一个评标得分高的投标人，或重新招标，</w:t>
      </w:r>
      <w:r>
        <w:rPr>
          <w:rFonts w:hint="eastAsia" w:ascii="宋体" w:hAnsi="宋体" w:cs="宋体"/>
          <w:color w:val="auto"/>
          <w:kern w:val="0"/>
          <w:sz w:val="24"/>
          <w:szCs w:val="24"/>
          <w:highlight w:val="none"/>
        </w:rPr>
        <w:t>给采购人造成的损失中标人还应当予以赔偿。</w:t>
      </w:r>
    </w:p>
    <w:p w14:paraId="0B06555A">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7.4.4发出中标通知书后，采购人无正当理由拒签合同的，给中标人造成损失的，还应当赔偿损失。</w:t>
      </w:r>
    </w:p>
    <w:p w14:paraId="77555C42">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7.4.5</w:t>
      </w:r>
      <w:r>
        <w:rPr>
          <w:rFonts w:hint="eastAsia" w:ascii="宋体" w:hAnsi="宋体" w:cs="宋体"/>
          <w:color w:val="auto"/>
          <w:sz w:val="24"/>
          <w:szCs w:val="24"/>
          <w:highlight w:val="none"/>
        </w:rPr>
        <w:t>合同签订方式：在平顶山市公共资源交易中心平台在线办理。</w:t>
      </w:r>
    </w:p>
    <w:p w14:paraId="7F6F422D">
      <w:pPr>
        <w:autoSpaceDE w:val="0"/>
        <w:autoSpaceDN w:val="0"/>
        <w:adjustRightInd w:val="0"/>
        <w:spacing w:line="360" w:lineRule="auto"/>
        <w:jc w:val="left"/>
        <w:rPr>
          <w:rFonts w:hint="eastAsia"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7.5 付款方式： </w:t>
      </w:r>
      <w:r>
        <w:rPr>
          <w:rFonts w:hint="eastAsia" w:ascii="宋体" w:hAnsi="宋体" w:cs="宋体"/>
          <w:color w:val="auto"/>
          <w:kern w:val="0"/>
          <w:sz w:val="24"/>
          <w:szCs w:val="24"/>
          <w:highlight w:val="none"/>
        </w:rPr>
        <w:t xml:space="preserve"> </w:t>
      </w:r>
    </w:p>
    <w:p w14:paraId="712ABB41">
      <w:pPr>
        <w:autoSpaceDE w:val="0"/>
        <w:autoSpaceDN w:val="0"/>
        <w:adjustRightInd w:val="0"/>
        <w:spacing w:line="360" w:lineRule="auto"/>
        <w:ind w:left="-88" w:leftChars="-42"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付款办法按第四章“合同格式及合同条款”约定执行。</w:t>
      </w:r>
    </w:p>
    <w:p w14:paraId="405E2DE4">
      <w:pPr>
        <w:pStyle w:val="4"/>
        <w:numPr>
          <w:ilvl w:val="0"/>
          <w:numId w:val="0"/>
        </w:numPr>
        <w:spacing w:before="0" w:after="0" w:line="360" w:lineRule="auto"/>
        <w:jc w:val="left"/>
        <w:rPr>
          <w:rFonts w:hint="eastAsia" w:ascii="宋体" w:hAnsi="宋体" w:eastAsia="宋体" w:cs="宋体"/>
          <w:b/>
          <w:bCs/>
          <w:color w:val="auto"/>
          <w:sz w:val="24"/>
          <w:szCs w:val="24"/>
          <w:highlight w:val="none"/>
        </w:rPr>
      </w:pPr>
      <w:bookmarkStart w:id="400" w:name="_Toc18749566"/>
      <w:bookmarkStart w:id="401" w:name="_Toc291089224"/>
      <w:bookmarkStart w:id="402" w:name="_Toc1524"/>
      <w:bookmarkStart w:id="403" w:name="_Toc247639880"/>
      <w:bookmarkStart w:id="404" w:name="_Toc7500"/>
      <w:bookmarkStart w:id="405" w:name="_Toc11446"/>
      <w:bookmarkStart w:id="406" w:name="_Toc6654"/>
      <w:bookmarkStart w:id="407" w:name="_Toc16851"/>
      <w:r>
        <w:rPr>
          <w:rFonts w:hint="eastAsia" w:ascii="宋体" w:hAnsi="宋体" w:eastAsia="宋体" w:cs="宋体"/>
          <w:b/>
          <w:bCs/>
          <w:color w:val="auto"/>
          <w:sz w:val="24"/>
          <w:szCs w:val="24"/>
          <w:highlight w:val="none"/>
        </w:rPr>
        <w:t>8. 重新招标</w:t>
      </w:r>
      <w:bookmarkEnd w:id="400"/>
      <w:bookmarkEnd w:id="401"/>
      <w:bookmarkEnd w:id="402"/>
      <w:bookmarkEnd w:id="403"/>
      <w:bookmarkEnd w:id="404"/>
      <w:bookmarkEnd w:id="405"/>
      <w:bookmarkEnd w:id="406"/>
      <w:bookmarkEnd w:id="407"/>
    </w:p>
    <w:p w14:paraId="4F7F4670">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有下列情形之一的，采购人将重新招标：</w:t>
      </w:r>
    </w:p>
    <w:p w14:paraId="0639DD5D">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（1）投标截止时间止，投标人少于3 个的；</w:t>
      </w:r>
    </w:p>
    <w:p w14:paraId="57C5B7B6">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（2）经评标委员会评审后否决所有投标的。</w:t>
      </w:r>
    </w:p>
    <w:p w14:paraId="7A4ED244">
      <w:pPr>
        <w:pStyle w:val="4"/>
        <w:numPr>
          <w:ilvl w:val="0"/>
          <w:numId w:val="0"/>
        </w:numPr>
        <w:spacing w:before="0" w:after="0" w:line="360" w:lineRule="auto"/>
        <w:jc w:val="left"/>
        <w:rPr>
          <w:rFonts w:hint="eastAsia" w:ascii="宋体" w:hAnsi="宋体" w:eastAsia="宋体" w:cs="宋体"/>
          <w:b/>
          <w:bCs/>
          <w:color w:val="auto"/>
          <w:sz w:val="24"/>
          <w:szCs w:val="24"/>
          <w:highlight w:val="none"/>
        </w:rPr>
      </w:pPr>
      <w:bookmarkStart w:id="408" w:name="_Toc247639883"/>
      <w:bookmarkStart w:id="409" w:name="_Toc17884"/>
      <w:bookmarkStart w:id="410" w:name="_Toc2319"/>
      <w:bookmarkStart w:id="411" w:name="_Toc18749569"/>
      <w:bookmarkStart w:id="412" w:name="_Toc13014"/>
      <w:bookmarkStart w:id="413" w:name="_Toc291089227"/>
      <w:bookmarkStart w:id="414" w:name="_Toc21737"/>
      <w:bookmarkStart w:id="415" w:name="_Toc22260"/>
      <w:r>
        <w:rPr>
          <w:rFonts w:hint="eastAsia" w:ascii="宋体" w:hAnsi="宋体" w:eastAsia="宋体" w:cs="宋体"/>
          <w:b/>
          <w:bCs/>
          <w:color w:val="auto"/>
          <w:sz w:val="24"/>
          <w:szCs w:val="24"/>
          <w:highlight w:val="none"/>
        </w:rPr>
        <w:t>9. 纪律和监督</w:t>
      </w:r>
      <w:bookmarkEnd w:id="408"/>
      <w:bookmarkEnd w:id="409"/>
      <w:bookmarkEnd w:id="410"/>
      <w:bookmarkEnd w:id="411"/>
      <w:bookmarkEnd w:id="412"/>
      <w:bookmarkEnd w:id="413"/>
      <w:bookmarkEnd w:id="414"/>
      <w:bookmarkEnd w:id="415"/>
    </w:p>
    <w:p w14:paraId="61377A6D">
      <w:pPr>
        <w:pStyle w:val="5"/>
        <w:numPr>
          <w:ilvl w:val="0"/>
          <w:numId w:val="0"/>
        </w:numPr>
        <w:spacing w:before="0" w:after="0" w:line="360" w:lineRule="auto"/>
        <w:rPr>
          <w:rFonts w:hint="eastAsia" w:ascii="宋体" w:hAnsi="宋体" w:eastAsia="宋体" w:cs="宋体"/>
          <w:color w:val="auto"/>
          <w:sz w:val="24"/>
          <w:szCs w:val="24"/>
          <w:highlight w:val="none"/>
        </w:rPr>
      </w:pPr>
      <w:bookmarkStart w:id="416" w:name="_Toc4063"/>
      <w:bookmarkStart w:id="417" w:name="_Toc15605"/>
      <w:bookmarkStart w:id="418" w:name="_Toc18749570"/>
      <w:bookmarkStart w:id="419" w:name="_Toc247639884"/>
      <w:bookmarkStart w:id="420" w:name="_Toc19262"/>
      <w:bookmarkStart w:id="421" w:name="_Toc1560"/>
      <w:bookmarkStart w:id="422" w:name="_Toc17650"/>
      <w:bookmarkStart w:id="423" w:name="_Toc29186"/>
      <w:bookmarkStart w:id="424" w:name="_Toc291089228"/>
      <w:bookmarkStart w:id="425" w:name="_Toc31460"/>
      <w:r>
        <w:rPr>
          <w:rFonts w:hint="eastAsia" w:ascii="宋体" w:hAnsi="宋体" w:eastAsia="宋体" w:cs="宋体"/>
          <w:b/>
          <w:bCs/>
          <w:color w:val="auto"/>
          <w:sz w:val="24"/>
          <w:szCs w:val="24"/>
          <w:highlight w:val="none"/>
        </w:rPr>
        <w:t>9.1 对采购人的纪律要求</w:t>
      </w:r>
      <w:bookmarkEnd w:id="416"/>
      <w:bookmarkEnd w:id="417"/>
      <w:bookmarkEnd w:id="418"/>
      <w:bookmarkEnd w:id="419"/>
      <w:bookmarkEnd w:id="420"/>
      <w:bookmarkEnd w:id="421"/>
      <w:bookmarkEnd w:id="422"/>
      <w:bookmarkEnd w:id="423"/>
      <w:bookmarkEnd w:id="424"/>
      <w:bookmarkEnd w:id="425"/>
    </w:p>
    <w:p w14:paraId="700CE4B7">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采购人不得泄漏招标投标活动中应当保密的情况和资料，不得与投标人串通损害国家利益、社会公共利益或者他人合法权益。</w:t>
      </w:r>
      <w:bookmarkStart w:id="426" w:name="_Toc291089229"/>
      <w:bookmarkStart w:id="427" w:name="_Toc247639885"/>
    </w:p>
    <w:p w14:paraId="1E6828E3">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428" w:name="_Toc20617"/>
      <w:bookmarkStart w:id="429" w:name="_Toc11182"/>
      <w:bookmarkStart w:id="430" w:name="_Toc21491"/>
      <w:r>
        <w:rPr>
          <w:rFonts w:hint="eastAsia" w:ascii="宋体" w:hAnsi="宋体" w:eastAsia="宋体" w:cs="宋体"/>
          <w:b/>
          <w:bCs/>
          <w:color w:val="auto"/>
          <w:sz w:val="24"/>
          <w:szCs w:val="24"/>
          <w:highlight w:val="none"/>
        </w:rPr>
        <w:t>9.2 对投标人的纪律要求</w:t>
      </w:r>
      <w:bookmarkEnd w:id="426"/>
      <w:bookmarkEnd w:id="427"/>
      <w:bookmarkEnd w:id="428"/>
      <w:bookmarkEnd w:id="429"/>
      <w:bookmarkEnd w:id="430"/>
    </w:p>
    <w:p w14:paraId="1858301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33CCEFD">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431" w:name="_Toc28354"/>
      <w:bookmarkStart w:id="432" w:name="_Toc7441"/>
      <w:bookmarkStart w:id="433" w:name="_Toc291089230"/>
      <w:bookmarkStart w:id="434" w:name="_Toc14498"/>
      <w:bookmarkStart w:id="435" w:name="_Toc4878"/>
      <w:bookmarkStart w:id="436" w:name="_Toc24627"/>
      <w:bookmarkStart w:id="437" w:name="_Toc18749571"/>
      <w:bookmarkStart w:id="438" w:name="_Toc247639886"/>
      <w:bookmarkStart w:id="439" w:name="_Toc13070"/>
      <w:bookmarkStart w:id="440" w:name="_Toc20360"/>
      <w:r>
        <w:rPr>
          <w:rFonts w:hint="eastAsia" w:ascii="宋体" w:hAnsi="宋体" w:eastAsia="宋体" w:cs="宋体"/>
          <w:b/>
          <w:bCs/>
          <w:color w:val="auto"/>
          <w:sz w:val="24"/>
          <w:szCs w:val="24"/>
          <w:highlight w:val="none"/>
        </w:rPr>
        <w:t>9.3 对评标委员会成员的纪律要求</w:t>
      </w:r>
      <w:bookmarkEnd w:id="431"/>
      <w:bookmarkEnd w:id="432"/>
      <w:bookmarkEnd w:id="433"/>
      <w:bookmarkEnd w:id="434"/>
      <w:bookmarkEnd w:id="435"/>
      <w:bookmarkEnd w:id="436"/>
      <w:bookmarkEnd w:id="437"/>
      <w:bookmarkEnd w:id="438"/>
      <w:bookmarkEnd w:id="439"/>
      <w:bookmarkEnd w:id="440"/>
    </w:p>
    <w:p w14:paraId="400EF1BF">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20020AF">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441" w:name="_Toc22459"/>
      <w:bookmarkStart w:id="442" w:name="_Toc18975"/>
      <w:bookmarkStart w:id="443" w:name="_Toc14783"/>
      <w:bookmarkStart w:id="444" w:name="_Toc31961"/>
      <w:bookmarkStart w:id="445" w:name="_Toc31559"/>
      <w:bookmarkStart w:id="446" w:name="_Toc1394"/>
      <w:bookmarkStart w:id="447" w:name="_Toc2165"/>
      <w:bookmarkStart w:id="448" w:name="_Toc247639887"/>
      <w:bookmarkStart w:id="449" w:name="_Toc291089231"/>
      <w:bookmarkStart w:id="450" w:name="_Toc18749572"/>
      <w:r>
        <w:rPr>
          <w:rFonts w:hint="eastAsia" w:ascii="宋体" w:hAnsi="宋体" w:eastAsia="宋体" w:cs="宋体"/>
          <w:b/>
          <w:bCs/>
          <w:color w:val="auto"/>
          <w:sz w:val="24"/>
          <w:szCs w:val="24"/>
          <w:highlight w:val="none"/>
        </w:rPr>
        <w:t>9.4 对与评标活动有关的工作人员的纪律要求</w:t>
      </w:r>
      <w:bookmarkEnd w:id="441"/>
      <w:bookmarkEnd w:id="442"/>
      <w:bookmarkEnd w:id="443"/>
      <w:bookmarkEnd w:id="444"/>
      <w:bookmarkEnd w:id="445"/>
      <w:bookmarkEnd w:id="446"/>
      <w:bookmarkEnd w:id="447"/>
      <w:bookmarkEnd w:id="448"/>
      <w:bookmarkEnd w:id="449"/>
      <w:bookmarkEnd w:id="450"/>
    </w:p>
    <w:p w14:paraId="655CBB4B">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D183D35">
      <w:pPr>
        <w:pStyle w:val="5"/>
        <w:numPr>
          <w:ilvl w:val="0"/>
          <w:numId w:val="0"/>
        </w:numPr>
        <w:spacing w:before="0" w:after="0" w:line="360" w:lineRule="auto"/>
        <w:rPr>
          <w:rFonts w:hint="eastAsia" w:ascii="宋体" w:hAnsi="宋体" w:eastAsia="宋体" w:cs="宋体"/>
          <w:b/>
          <w:bCs/>
          <w:color w:val="auto"/>
          <w:sz w:val="24"/>
          <w:szCs w:val="24"/>
          <w:highlight w:val="none"/>
        </w:rPr>
      </w:pPr>
      <w:bookmarkStart w:id="451" w:name="_Toc18059"/>
      <w:bookmarkStart w:id="452" w:name="_Toc20383"/>
      <w:bookmarkStart w:id="453" w:name="_Toc4113"/>
      <w:bookmarkStart w:id="454" w:name="_Toc18749573"/>
      <w:bookmarkStart w:id="455" w:name="_Toc247639888"/>
      <w:bookmarkStart w:id="456" w:name="_Toc291089232"/>
      <w:bookmarkStart w:id="457" w:name="_Toc5571"/>
      <w:bookmarkStart w:id="458" w:name="_Toc18630"/>
      <w:bookmarkStart w:id="459" w:name="_Toc4780"/>
      <w:bookmarkStart w:id="460" w:name="_Toc13551"/>
      <w:r>
        <w:rPr>
          <w:rFonts w:hint="eastAsia" w:ascii="宋体" w:hAnsi="宋体" w:eastAsia="宋体" w:cs="宋体"/>
          <w:b/>
          <w:bCs/>
          <w:color w:val="auto"/>
          <w:sz w:val="24"/>
          <w:szCs w:val="24"/>
          <w:highlight w:val="none"/>
        </w:rPr>
        <w:t xml:space="preserve">9.5 </w:t>
      </w:r>
      <w:r>
        <w:rPr>
          <w:rFonts w:hint="eastAsia" w:ascii="宋体" w:hAnsi="宋体" w:eastAsia="宋体" w:cs="宋体"/>
          <w:b/>
          <w:bCs/>
          <w:color w:val="auto"/>
          <w:sz w:val="24"/>
          <w:szCs w:val="24"/>
          <w:highlight w:val="none"/>
          <w:lang w:eastAsia="zh-CN"/>
        </w:rPr>
        <w:t>质疑与</w:t>
      </w:r>
      <w:r>
        <w:rPr>
          <w:rFonts w:hint="eastAsia" w:ascii="宋体" w:hAnsi="宋体" w:eastAsia="宋体" w:cs="宋体"/>
          <w:b/>
          <w:bCs/>
          <w:color w:val="auto"/>
          <w:sz w:val="24"/>
          <w:szCs w:val="24"/>
          <w:highlight w:val="none"/>
        </w:rPr>
        <w:t>投诉</w:t>
      </w:r>
      <w:bookmarkEnd w:id="451"/>
      <w:bookmarkEnd w:id="452"/>
      <w:bookmarkEnd w:id="453"/>
      <w:bookmarkEnd w:id="454"/>
      <w:bookmarkEnd w:id="455"/>
      <w:bookmarkEnd w:id="456"/>
      <w:bookmarkEnd w:id="457"/>
      <w:bookmarkEnd w:id="458"/>
      <w:bookmarkEnd w:id="459"/>
      <w:bookmarkEnd w:id="460"/>
    </w:p>
    <w:p w14:paraId="59869B32">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投标人和其他利害关系人认为本次招标活动违反法律、法规和规章规定的，有权向有关行政监督部门投诉。</w:t>
      </w:r>
    </w:p>
    <w:p w14:paraId="781D761E">
      <w:pPr>
        <w:pStyle w:val="4"/>
        <w:numPr>
          <w:ilvl w:val="0"/>
          <w:numId w:val="0"/>
        </w:numPr>
        <w:spacing w:before="0" w:after="0" w:line="360" w:lineRule="auto"/>
        <w:jc w:val="left"/>
        <w:rPr>
          <w:rFonts w:hint="eastAsia" w:ascii="宋体" w:hAnsi="宋体" w:eastAsia="宋体" w:cs="宋体"/>
          <w:b/>
          <w:bCs/>
          <w:color w:val="auto"/>
          <w:sz w:val="24"/>
          <w:szCs w:val="24"/>
          <w:highlight w:val="none"/>
        </w:rPr>
      </w:pPr>
      <w:bookmarkStart w:id="461" w:name="_Toc19976"/>
      <w:bookmarkStart w:id="462" w:name="_Toc18749574"/>
      <w:bookmarkStart w:id="463" w:name="_Toc24597"/>
      <w:bookmarkStart w:id="464" w:name="_Toc29482"/>
      <w:bookmarkStart w:id="465" w:name="_Toc291089233"/>
      <w:bookmarkStart w:id="466" w:name="_Toc18730"/>
      <w:bookmarkStart w:id="467" w:name="_Toc9738"/>
      <w:bookmarkStart w:id="468" w:name="_Toc27256"/>
      <w:bookmarkStart w:id="469" w:name="_Toc247639889"/>
      <w:r>
        <w:rPr>
          <w:rFonts w:hint="eastAsia" w:ascii="宋体" w:hAnsi="宋体" w:eastAsia="宋体" w:cs="宋体"/>
          <w:b/>
          <w:bCs/>
          <w:color w:val="auto"/>
          <w:sz w:val="24"/>
          <w:szCs w:val="24"/>
          <w:highlight w:val="none"/>
        </w:rPr>
        <w:t>10. 需要补充的其他内容</w:t>
      </w:r>
      <w:bookmarkEnd w:id="461"/>
      <w:bookmarkEnd w:id="462"/>
      <w:bookmarkEnd w:id="463"/>
      <w:bookmarkEnd w:id="464"/>
      <w:bookmarkEnd w:id="465"/>
      <w:bookmarkEnd w:id="466"/>
      <w:bookmarkEnd w:id="467"/>
      <w:bookmarkEnd w:id="468"/>
      <w:bookmarkEnd w:id="469"/>
    </w:p>
    <w:p w14:paraId="099B6F5B">
      <w:pPr>
        <w:autoSpaceDE w:val="0"/>
        <w:autoSpaceDN w:val="0"/>
        <w:adjustRightInd w:val="0"/>
        <w:spacing w:line="360" w:lineRule="auto"/>
        <w:ind w:firstLine="616" w:firstLineChars="257"/>
        <w:jc w:val="left"/>
        <w:rPr>
          <w:rFonts w:hint="eastAsia" w:ascii="宋体" w:hAnsi="宋体" w:cs="宋体"/>
          <w:color w:val="auto"/>
          <w:kern w:val="0"/>
          <w:sz w:val="22"/>
          <w:szCs w:val="22"/>
          <w:highlight w:val="none"/>
        </w:rPr>
        <w:sectPr>
          <w:footerReference r:id="rId5" w:type="default"/>
          <w:pgSz w:w="11906" w:h="16838"/>
          <w:pgMar w:top="1440" w:right="1134" w:bottom="1440" w:left="1134" w:header="851" w:footer="992" w:gutter="0"/>
          <w:pgNumType w:start="1"/>
          <w:cols w:space="720" w:num="1"/>
          <w:docGrid w:linePitch="312" w:charSpace="0"/>
        </w:sectPr>
      </w:pPr>
      <w:r>
        <w:rPr>
          <w:rFonts w:hint="eastAsia" w:ascii="宋体" w:hAnsi="宋体" w:cs="宋体"/>
          <w:color w:val="auto"/>
          <w:kern w:val="0"/>
          <w:sz w:val="24"/>
          <w:szCs w:val="24"/>
          <w:highlight w:val="none"/>
        </w:rPr>
        <w:t>需要补充的其他内容：见投标人须知前附表。</w:t>
      </w:r>
    </w:p>
    <w:p w14:paraId="2EB32C6E">
      <w:pPr>
        <w:pStyle w:val="3"/>
        <w:numPr>
          <w:ilvl w:val="0"/>
          <w:numId w:val="0"/>
        </w:numPr>
        <w:spacing w:line="360" w:lineRule="auto"/>
        <w:jc w:val="center"/>
        <w:rPr>
          <w:rFonts w:hint="eastAsia" w:ascii="宋体" w:hAnsi="宋体" w:eastAsia="宋体" w:cs="宋体"/>
          <w:b/>
          <w:bCs/>
          <w:color w:val="auto"/>
          <w:sz w:val="36"/>
          <w:szCs w:val="36"/>
          <w:highlight w:val="none"/>
        </w:rPr>
      </w:pPr>
      <w:bookmarkStart w:id="470" w:name="_Toc21250"/>
      <w:bookmarkStart w:id="471" w:name="_Toc15729"/>
      <w:bookmarkStart w:id="472" w:name="_Toc13886"/>
      <w:r>
        <w:rPr>
          <w:rFonts w:hint="eastAsia" w:ascii="宋体" w:hAnsi="宋体" w:eastAsia="宋体" w:cs="宋体"/>
          <w:b/>
          <w:bCs/>
          <w:color w:val="auto"/>
          <w:sz w:val="36"/>
          <w:szCs w:val="36"/>
          <w:highlight w:val="none"/>
        </w:rPr>
        <w:t>第三章 评标办法</w:t>
      </w:r>
      <w:bookmarkEnd w:id="470"/>
      <w:bookmarkEnd w:id="471"/>
      <w:bookmarkEnd w:id="472"/>
    </w:p>
    <w:p w14:paraId="7FCE8C51">
      <w:pPr>
        <w:spacing w:line="360" w:lineRule="auto"/>
        <w:outlineLvl w:val="1"/>
        <w:rPr>
          <w:rFonts w:hint="eastAsia" w:ascii="宋体" w:hAnsi="宋体" w:cs="宋体"/>
          <w:b/>
          <w:bCs/>
          <w:color w:val="auto"/>
          <w:sz w:val="24"/>
          <w:szCs w:val="24"/>
          <w:highlight w:val="none"/>
        </w:rPr>
      </w:pPr>
      <w:bookmarkStart w:id="473" w:name="_Toc1731"/>
      <w:bookmarkStart w:id="474" w:name="_Toc23114"/>
      <w:bookmarkStart w:id="475" w:name="_Toc214938704"/>
      <w:bookmarkStart w:id="476" w:name="_Toc18749576"/>
      <w:bookmarkStart w:id="477" w:name="_Toc213513215"/>
      <w:bookmarkStart w:id="478" w:name="_Toc4023"/>
      <w:bookmarkStart w:id="479" w:name="_Toc20648"/>
      <w:bookmarkStart w:id="480" w:name="_Toc215997485"/>
      <w:bookmarkStart w:id="481" w:name="_Toc26802"/>
      <w:r>
        <w:rPr>
          <w:rFonts w:hint="eastAsia" w:ascii="宋体" w:hAnsi="宋体" w:cs="宋体"/>
          <w:b/>
          <w:bCs/>
          <w:color w:val="auto"/>
          <w:sz w:val="24"/>
          <w:szCs w:val="24"/>
          <w:highlight w:val="none"/>
        </w:rPr>
        <w:t>1.评标总则和评标组织机构</w:t>
      </w:r>
      <w:bookmarkEnd w:id="473"/>
      <w:bookmarkEnd w:id="474"/>
      <w:bookmarkEnd w:id="475"/>
      <w:bookmarkEnd w:id="476"/>
      <w:bookmarkEnd w:id="477"/>
      <w:bookmarkEnd w:id="478"/>
      <w:bookmarkEnd w:id="479"/>
      <w:bookmarkEnd w:id="480"/>
      <w:bookmarkEnd w:id="481"/>
    </w:p>
    <w:p w14:paraId="5E71AC4D">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bookmarkStart w:id="482" w:name="_Toc215997486"/>
      <w:r>
        <w:rPr>
          <w:rFonts w:hint="eastAsia" w:ascii="宋体" w:hAnsi="宋体" w:cs="宋体"/>
          <w:color w:val="auto"/>
          <w:kern w:val="0"/>
          <w:sz w:val="24"/>
          <w:szCs w:val="24"/>
          <w:highlight w:val="none"/>
        </w:rPr>
        <w:t>1.1 评标总则</w:t>
      </w:r>
      <w:bookmarkEnd w:id="482"/>
    </w:p>
    <w:p w14:paraId="17959F7A">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工作按照公平、公正、科学合理、严格保密的原则进行。所有参加评标的专家应从实际出发，实事求是，依据本评标办法，对投标人的投标文件进行公平、公正的评价。所有参加评标的专家和工作人员应遵守评标工作纪律。评标活动及其当事人应当接受依法实施的监督。</w:t>
      </w:r>
    </w:p>
    <w:p w14:paraId="07697FB5">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bookmarkStart w:id="483" w:name="_Toc215997487"/>
      <w:r>
        <w:rPr>
          <w:rFonts w:hint="eastAsia" w:ascii="宋体" w:hAnsi="宋体" w:cs="宋体"/>
          <w:color w:val="auto"/>
          <w:kern w:val="0"/>
          <w:sz w:val="24"/>
          <w:szCs w:val="24"/>
          <w:highlight w:val="none"/>
        </w:rPr>
        <w:t>1.2 评标组织机构</w:t>
      </w:r>
      <w:bookmarkEnd w:id="483"/>
    </w:p>
    <w:p w14:paraId="736E14C6">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评标工作由按有关规定组成的评标委员会负责。评标委员会设主任1人，由评标委员会推荐产生（采购人代表除外）。</w:t>
      </w:r>
    </w:p>
    <w:p w14:paraId="35B56F6A">
      <w:pPr>
        <w:spacing w:line="360" w:lineRule="auto"/>
        <w:outlineLvl w:val="1"/>
        <w:rPr>
          <w:rFonts w:hint="eastAsia" w:ascii="宋体" w:hAnsi="宋体" w:cs="宋体"/>
          <w:b/>
          <w:bCs/>
          <w:color w:val="auto"/>
          <w:sz w:val="24"/>
          <w:szCs w:val="24"/>
          <w:highlight w:val="none"/>
        </w:rPr>
      </w:pPr>
      <w:bookmarkStart w:id="484" w:name="_Toc213513216"/>
      <w:bookmarkStart w:id="485" w:name="_Toc215997488"/>
      <w:bookmarkStart w:id="486" w:name="_Toc10016"/>
      <w:bookmarkStart w:id="487" w:name="_Toc1351"/>
      <w:bookmarkStart w:id="488" w:name="_Toc18749577"/>
      <w:bookmarkStart w:id="489" w:name="_Toc23772"/>
      <w:bookmarkStart w:id="490" w:name="_Toc7286"/>
      <w:bookmarkStart w:id="491" w:name="_Toc214938705"/>
      <w:bookmarkStart w:id="492" w:name="_Toc17655"/>
      <w:r>
        <w:rPr>
          <w:rFonts w:hint="eastAsia" w:ascii="宋体" w:hAnsi="宋体" w:cs="宋体"/>
          <w:b/>
          <w:bCs/>
          <w:color w:val="auto"/>
          <w:sz w:val="24"/>
          <w:szCs w:val="24"/>
          <w:highlight w:val="none"/>
        </w:rPr>
        <w:t>2.评标依据</w:t>
      </w:r>
      <w:bookmarkEnd w:id="484"/>
      <w:bookmarkEnd w:id="485"/>
      <w:bookmarkEnd w:id="486"/>
      <w:bookmarkEnd w:id="487"/>
      <w:bookmarkEnd w:id="488"/>
      <w:bookmarkEnd w:id="489"/>
      <w:bookmarkEnd w:id="490"/>
      <w:bookmarkEnd w:id="491"/>
      <w:bookmarkEnd w:id="492"/>
    </w:p>
    <w:p w14:paraId="1F8B6AE8">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（1）招标文件及其补充通知；</w:t>
      </w:r>
    </w:p>
    <w:p w14:paraId="22CFC273">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（2）有效的投标文件及其评标要求澄清的文件；</w:t>
      </w:r>
    </w:p>
    <w:p w14:paraId="607FC0F4">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（3）《中华人民共和国政府采购法》、《中华人民共和国政府采购法实施条例》、《政府采购货物和服务招标投标管理办法》（财政部令第87号）等。</w:t>
      </w:r>
    </w:p>
    <w:p w14:paraId="3C7713B9">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（4）本评标办法没有规定的办法和标准不得作为评标的依据。</w:t>
      </w:r>
    </w:p>
    <w:p w14:paraId="4938D8BF">
      <w:pPr>
        <w:spacing w:line="360" w:lineRule="auto"/>
        <w:outlineLvl w:val="1"/>
        <w:rPr>
          <w:rFonts w:hint="eastAsia" w:ascii="宋体" w:hAnsi="宋体" w:cs="宋体"/>
          <w:b/>
          <w:bCs/>
          <w:color w:val="auto"/>
          <w:sz w:val="24"/>
          <w:szCs w:val="24"/>
          <w:highlight w:val="none"/>
        </w:rPr>
      </w:pPr>
      <w:bookmarkStart w:id="493" w:name="_Toc215997489"/>
      <w:bookmarkStart w:id="494" w:name="_Toc25915"/>
      <w:bookmarkStart w:id="495" w:name="_Toc30993"/>
      <w:bookmarkStart w:id="496" w:name="_Toc2052"/>
      <w:bookmarkStart w:id="497" w:name="_Toc16089"/>
      <w:bookmarkStart w:id="498" w:name="_Toc3126"/>
      <w:bookmarkStart w:id="499" w:name="_Toc18749578"/>
      <w:bookmarkStart w:id="500" w:name="_Toc213513217"/>
      <w:bookmarkStart w:id="501" w:name="_Toc214938706"/>
      <w:r>
        <w:rPr>
          <w:rFonts w:hint="eastAsia" w:ascii="宋体" w:hAnsi="宋体" w:cs="宋体"/>
          <w:b/>
          <w:bCs/>
          <w:color w:val="auto"/>
          <w:sz w:val="24"/>
          <w:szCs w:val="24"/>
          <w:highlight w:val="none"/>
        </w:rPr>
        <w:t>3.评标原则</w:t>
      </w:r>
      <w:bookmarkEnd w:id="493"/>
      <w:bookmarkEnd w:id="494"/>
      <w:bookmarkEnd w:id="495"/>
      <w:bookmarkEnd w:id="496"/>
      <w:bookmarkEnd w:id="497"/>
      <w:bookmarkEnd w:id="498"/>
      <w:bookmarkEnd w:id="499"/>
      <w:bookmarkEnd w:id="500"/>
      <w:bookmarkEnd w:id="501"/>
    </w:p>
    <w:p w14:paraId="5A025E76">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3.1 评标工作遵循“公平、公正、科学、择优”的原则。</w:t>
      </w:r>
    </w:p>
    <w:p w14:paraId="46EB2545">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 质量好、信誉高、价格合理、使用寿命长、技术先进可行。</w:t>
      </w:r>
    </w:p>
    <w:p w14:paraId="3A74A2EC">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 评标时，投标报价是评标的重要依据，但不是唯一依据。</w:t>
      </w:r>
    </w:p>
    <w:p w14:paraId="542C9066">
      <w:pPr>
        <w:spacing w:line="360" w:lineRule="auto"/>
        <w:outlineLvl w:val="1"/>
        <w:rPr>
          <w:rFonts w:hint="eastAsia" w:ascii="宋体" w:hAnsi="宋体" w:cs="宋体"/>
          <w:b/>
          <w:bCs/>
          <w:color w:val="auto"/>
          <w:sz w:val="24"/>
          <w:szCs w:val="24"/>
          <w:highlight w:val="none"/>
        </w:rPr>
      </w:pPr>
      <w:bookmarkStart w:id="502" w:name="_Toc215997490"/>
      <w:bookmarkStart w:id="503" w:name="_Toc214938707"/>
      <w:bookmarkStart w:id="504" w:name="_Toc12602"/>
      <w:bookmarkStart w:id="505" w:name="_Toc28933"/>
      <w:bookmarkStart w:id="506" w:name="_Toc18749579"/>
      <w:bookmarkStart w:id="507" w:name="_Toc26392"/>
      <w:bookmarkStart w:id="508" w:name="_Toc213513218"/>
      <w:bookmarkStart w:id="509" w:name="_Toc24533"/>
      <w:bookmarkStart w:id="510" w:name="_Toc26673"/>
      <w:r>
        <w:rPr>
          <w:rFonts w:hint="eastAsia" w:ascii="宋体" w:hAnsi="宋体" w:cs="宋体"/>
          <w:b/>
          <w:bCs/>
          <w:color w:val="auto"/>
          <w:sz w:val="24"/>
          <w:szCs w:val="24"/>
          <w:highlight w:val="none"/>
        </w:rPr>
        <w:t>4.评标过程的保密</w:t>
      </w:r>
      <w:bookmarkEnd w:id="502"/>
      <w:bookmarkEnd w:id="503"/>
      <w:bookmarkEnd w:id="504"/>
      <w:bookmarkEnd w:id="505"/>
      <w:bookmarkEnd w:id="506"/>
      <w:bookmarkEnd w:id="507"/>
      <w:bookmarkEnd w:id="508"/>
      <w:bookmarkEnd w:id="509"/>
      <w:bookmarkEnd w:id="510"/>
    </w:p>
    <w:p w14:paraId="0E403968">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4.1  自开标后直到签订合同为止，凡有关投标文件的审查、澄清、评比和决标等信息，对与本过程有关的投标人及其他人员保密。</w:t>
      </w:r>
    </w:p>
    <w:p w14:paraId="460023BE">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  投标人在投标文件的审查、澄清、评比和决标过程中，对采购人或评标人施加影响和试图获取评标信息的任何行为，都将导致取消其中标资格。</w:t>
      </w:r>
    </w:p>
    <w:p w14:paraId="103E8AD4">
      <w:pPr>
        <w:spacing w:line="360" w:lineRule="auto"/>
        <w:outlineLvl w:val="1"/>
        <w:rPr>
          <w:rFonts w:hint="eastAsia" w:ascii="宋体" w:hAnsi="宋体" w:cs="宋体"/>
          <w:b/>
          <w:bCs/>
          <w:color w:val="auto"/>
          <w:sz w:val="24"/>
          <w:szCs w:val="24"/>
          <w:highlight w:val="none"/>
        </w:rPr>
      </w:pPr>
      <w:bookmarkStart w:id="511" w:name="_Toc18749580"/>
      <w:bookmarkStart w:id="512" w:name="_Toc213513219"/>
      <w:bookmarkStart w:id="513" w:name="_Toc24808"/>
      <w:bookmarkStart w:id="514" w:name="_Toc215997491"/>
      <w:bookmarkStart w:id="515" w:name="_Toc11669"/>
      <w:bookmarkStart w:id="516" w:name="_Toc214938708"/>
      <w:bookmarkStart w:id="517" w:name="_Toc23377"/>
      <w:bookmarkStart w:id="518" w:name="_Toc8071"/>
      <w:bookmarkStart w:id="519" w:name="_Toc9311"/>
      <w:r>
        <w:rPr>
          <w:rFonts w:hint="eastAsia" w:ascii="宋体" w:hAnsi="宋体" w:cs="宋体"/>
          <w:b/>
          <w:bCs/>
          <w:color w:val="auto"/>
          <w:sz w:val="24"/>
          <w:szCs w:val="24"/>
          <w:highlight w:val="none"/>
        </w:rPr>
        <w:t>5.评标纪律</w:t>
      </w:r>
      <w:bookmarkEnd w:id="511"/>
      <w:bookmarkEnd w:id="512"/>
      <w:bookmarkEnd w:id="513"/>
      <w:bookmarkEnd w:id="514"/>
      <w:bookmarkEnd w:id="515"/>
      <w:bookmarkEnd w:id="516"/>
      <w:bookmarkEnd w:id="517"/>
      <w:bookmarkEnd w:id="518"/>
      <w:bookmarkEnd w:id="519"/>
    </w:p>
    <w:p w14:paraId="00D56186">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5.1  评标委员应客观、公正地履行职责，严格按照招标文件、评标细则和国家有关规定进行评审，不得随意修改评标办法。</w:t>
      </w:r>
    </w:p>
    <w:p w14:paraId="1F072A3D">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  评标委员会成员对其提出的评审意见承担个人责任。</w:t>
      </w:r>
    </w:p>
    <w:p w14:paraId="47EB611C">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5.3  自开标后直到签订合同为止，凡有关投标文件的审查、澄清、评比和定标等信息，对与本过程有关的投标人及其他人员保密。</w:t>
      </w:r>
    </w:p>
    <w:p w14:paraId="48C8EA77">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5.4  评标期间实行封闭式管理，所有评标委员会成员及工作人员不得私自离开指定场所。</w:t>
      </w:r>
    </w:p>
    <w:p w14:paraId="27FFB1A2">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5.5  所有评标委员和工作人员不得与任何投标人进行私下接触，不得接受投标人的宴请，不得收受投标人的馈赠或其他好处。</w:t>
      </w:r>
    </w:p>
    <w:p w14:paraId="6AA849C6">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5.6  评标过程应接受招标监督部门的监督和质询。</w:t>
      </w:r>
    </w:p>
    <w:p w14:paraId="5719B342">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5.7  评标人员违反评标纪律，一经发现，将按照有关规定给予严肃处理。</w:t>
      </w:r>
    </w:p>
    <w:p w14:paraId="3DCADED9">
      <w:pPr>
        <w:spacing w:line="360" w:lineRule="auto"/>
        <w:outlineLvl w:val="1"/>
        <w:rPr>
          <w:rFonts w:hint="eastAsia" w:ascii="宋体" w:hAnsi="宋体" w:cs="宋体"/>
          <w:b/>
          <w:bCs/>
          <w:color w:val="auto"/>
          <w:sz w:val="24"/>
          <w:szCs w:val="24"/>
          <w:highlight w:val="none"/>
        </w:rPr>
      </w:pPr>
      <w:bookmarkStart w:id="520" w:name="_Toc10008"/>
      <w:bookmarkStart w:id="521" w:name="_Toc14780"/>
      <w:bookmarkStart w:id="522" w:name="_Toc214938710"/>
      <w:bookmarkStart w:id="523" w:name="_Toc17091"/>
      <w:bookmarkStart w:id="524" w:name="_Toc18749582"/>
      <w:bookmarkStart w:id="525" w:name="_Toc567"/>
      <w:bookmarkStart w:id="526" w:name="_Toc213513221"/>
      <w:bookmarkStart w:id="527" w:name="_Toc17663"/>
      <w:bookmarkStart w:id="528" w:name="_Toc215997493"/>
      <w:r>
        <w:rPr>
          <w:rFonts w:hint="eastAsia" w:ascii="宋体" w:hAnsi="宋体" w:cs="宋体"/>
          <w:b/>
          <w:bCs/>
          <w:color w:val="auto"/>
          <w:sz w:val="24"/>
          <w:szCs w:val="24"/>
          <w:highlight w:val="none"/>
        </w:rPr>
        <w:t>7.评标程序</w:t>
      </w:r>
      <w:bookmarkEnd w:id="520"/>
      <w:bookmarkEnd w:id="521"/>
      <w:bookmarkEnd w:id="522"/>
      <w:bookmarkEnd w:id="523"/>
      <w:bookmarkEnd w:id="524"/>
      <w:bookmarkEnd w:id="525"/>
      <w:bookmarkEnd w:id="526"/>
      <w:bookmarkEnd w:id="527"/>
      <w:bookmarkEnd w:id="528"/>
    </w:p>
    <w:p w14:paraId="5C5BC854">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工作准备→资格评审→初步评审→详细评审→评标报告。</w:t>
      </w:r>
    </w:p>
    <w:p w14:paraId="7F6D2BD9">
      <w:pPr>
        <w:spacing w:line="360" w:lineRule="auto"/>
        <w:rPr>
          <w:rFonts w:hint="eastAsia" w:ascii="宋体" w:hAnsi="宋体" w:cs="宋体"/>
          <w:b/>
          <w:bCs/>
          <w:color w:val="auto"/>
          <w:sz w:val="24"/>
          <w:szCs w:val="24"/>
          <w:highlight w:val="none"/>
        </w:rPr>
      </w:pPr>
      <w:bookmarkStart w:id="529" w:name="_Toc215997494"/>
      <w:r>
        <w:rPr>
          <w:rFonts w:hint="eastAsia" w:ascii="宋体" w:hAnsi="宋体" w:cs="宋体"/>
          <w:b/>
          <w:bCs/>
          <w:color w:val="auto"/>
          <w:sz w:val="24"/>
          <w:szCs w:val="24"/>
          <w:highlight w:val="none"/>
        </w:rPr>
        <w:t>7.1 工作准备</w:t>
      </w:r>
      <w:bookmarkEnd w:id="529"/>
    </w:p>
    <w:p w14:paraId="055AF72A">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评标委员会成员研究招标文件，熟悉评标办法，掌握评标程序、标准和方法，编制供评标使用的相应表格。</w:t>
      </w:r>
    </w:p>
    <w:p w14:paraId="56725090">
      <w:pPr>
        <w:spacing w:line="360" w:lineRule="auto"/>
        <w:rPr>
          <w:rFonts w:hint="eastAsia" w:ascii="宋体" w:hAnsi="宋体" w:cs="宋体"/>
          <w:b/>
          <w:bCs/>
          <w:color w:val="auto"/>
          <w:sz w:val="24"/>
          <w:szCs w:val="24"/>
          <w:highlight w:val="none"/>
        </w:rPr>
      </w:pPr>
      <w:bookmarkStart w:id="530" w:name="_Toc215997495"/>
      <w:r>
        <w:rPr>
          <w:rFonts w:hint="eastAsia" w:ascii="宋体" w:hAnsi="宋体" w:cs="宋体"/>
          <w:b/>
          <w:bCs/>
          <w:color w:val="auto"/>
          <w:sz w:val="24"/>
          <w:szCs w:val="24"/>
          <w:highlight w:val="none"/>
        </w:rPr>
        <w:t xml:space="preserve">7.2 </w:t>
      </w:r>
      <w:bookmarkEnd w:id="530"/>
      <w:r>
        <w:rPr>
          <w:rFonts w:hint="eastAsia" w:ascii="宋体" w:hAnsi="宋体" w:cs="宋体"/>
          <w:b/>
          <w:bCs/>
          <w:color w:val="auto"/>
          <w:sz w:val="24"/>
          <w:szCs w:val="24"/>
          <w:highlight w:val="none"/>
        </w:rPr>
        <w:t>资格评审</w:t>
      </w:r>
    </w:p>
    <w:p w14:paraId="21C6A1D0">
      <w:pPr>
        <w:autoSpaceDE w:val="0"/>
        <w:autoSpaceDN w:val="0"/>
        <w:adjustRightInd w:val="0"/>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7.2.1按照《政府采购货物和服务招标投标管理办法》（财政部令第87号）的规定，公开招标项目开标结束后，</w:t>
      </w:r>
      <w:r>
        <w:rPr>
          <w:rFonts w:hint="eastAsia" w:ascii="宋体" w:hAnsi="宋体" w:cs="宋体"/>
          <w:b/>
          <w:bCs/>
          <w:color w:val="auto"/>
          <w:kern w:val="0"/>
          <w:sz w:val="24"/>
          <w:szCs w:val="24"/>
          <w:highlight w:val="none"/>
        </w:rPr>
        <w:t>采购人和采购代理机构应当依法对投标人的资格进行审查</w:t>
      </w:r>
      <w:r>
        <w:rPr>
          <w:rFonts w:hint="eastAsia" w:ascii="宋体" w:hAnsi="宋体" w:cs="宋体"/>
          <w:color w:val="auto"/>
          <w:kern w:val="0"/>
          <w:sz w:val="24"/>
          <w:szCs w:val="24"/>
          <w:highlight w:val="none"/>
        </w:rPr>
        <w:t>。合格投标人不足3家的，不再进行评标。</w:t>
      </w:r>
    </w:p>
    <w:p w14:paraId="6CF65BC8">
      <w:pPr>
        <w:autoSpaceDE w:val="0"/>
        <w:autoSpaceDN w:val="0"/>
        <w:adjustRightInd w:val="0"/>
        <w:spacing w:line="360" w:lineRule="auto"/>
        <w:jc w:val="left"/>
        <w:rPr>
          <w:rFonts w:hint="eastAsia" w:ascii="宋体" w:hAnsi="宋体" w:cs="宋体"/>
          <w:b/>
          <w:bCs/>
          <w:color w:val="auto"/>
          <w:sz w:val="24"/>
          <w:szCs w:val="24"/>
          <w:highlight w:val="none"/>
        </w:rPr>
      </w:pPr>
      <w:r>
        <w:rPr>
          <w:rFonts w:hint="eastAsia" w:ascii="宋体" w:hAnsi="宋体" w:cs="宋体"/>
          <w:color w:val="auto"/>
          <w:kern w:val="0"/>
          <w:sz w:val="24"/>
          <w:szCs w:val="24"/>
          <w:highlight w:val="none"/>
        </w:rPr>
        <w:t>7.2.2公开招标数额标准以上的采购项目，投标截止后投标人不足 3 家或者通过资格审查或符合性审查的投标人不足3家的，除采购任务取消情形外，按照以下方式处理：</w:t>
      </w:r>
    </w:p>
    <w:p w14:paraId="60DEA0A9">
      <w:pPr>
        <w:autoSpaceDE w:val="0"/>
        <w:autoSpaceDN w:val="0"/>
        <w:adjustRightInd w:val="0"/>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7.2.2.1招标文件存在不合理条款或者招标程序不符合规定的，采购人、采购代理机构改正后依法重新招标；</w:t>
      </w:r>
    </w:p>
    <w:p w14:paraId="6A62CA2D">
      <w:pPr>
        <w:autoSpaceDE w:val="0"/>
        <w:autoSpaceDN w:val="0"/>
        <w:adjustRightInd w:val="0"/>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7.2.2.2招标文件没有不合理条款、招标程序符合规定，需要采用其他采购方式采购的，采购人应当依法报财政部门批准。</w:t>
      </w:r>
    </w:p>
    <w:p w14:paraId="3D2401D1">
      <w:pPr>
        <w:spacing w:line="360" w:lineRule="auto"/>
        <w:rPr>
          <w:rFonts w:hint="eastAsia" w:ascii="宋体" w:hAnsi="宋体" w:cs="宋体"/>
          <w:color w:val="auto"/>
          <w:sz w:val="24"/>
          <w:szCs w:val="24"/>
          <w:highlight w:val="none"/>
        </w:rPr>
      </w:pPr>
      <w:bookmarkStart w:id="531" w:name="_Toc215997496"/>
      <w:r>
        <w:rPr>
          <w:rFonts w:hint="eastAsia" w:ascii="宋体" w:hAnsi="宋体" w:cs="宋体"/>
          <w:color w:val="auto"/>
          <w:kern w:val="0"/>
          <w:sz w:val="24"/>
          <w:szCs w:val="24"/>
          <w:highlight w:val="none"/>
        </w:rPr>
        <w:t>7.2.3</w:t>
      </w:r>
      <w:r>
        <w:rPr>
          <w:rFonts w:hint="eastAsia" w:ascii="宋体" w:hAnsi="宋体" w:cs="宋体"/>
          <w:color w:val="auto"/>
          <w:sz w:val="24"/>
          <w:szCs w:val="24"/>
          <w:highlight w:val="none"/>
        </w:rPr>
        <w:t>根据《河南省财政厅关于防范供应商串通投标促进政府采购公平竞争的通知》（豫财购[2021]号）的通知，有下列情形之一的，视为投标人串通投标，其投标无效：</w:t>
      </w:r>
    </w:p>
    <w:p w14:paraId="76CBA0D4">
      <w:pPr>
        <w:spacing w:line="360" w:lineRule="auto"/>
        <w:ind w:left="-15"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（1）不同投标人的电子投标（响应）文件上传计算机的网卡MAC地址、CPU序列号和硬盘序列号等硬件信息相同的；</w:t>
      </w:r>
    </w:p>
    <w:p w14:paraId="3B47CEC4">
      <w:pPr>
        <w:spacing w:line="360" w:lineRule="auto"/>
        <w:ind w:left="-15"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（2）不同投标人的投标（响应）文件由同一电子设备编制、打印加密或者上传；</w:t>
      </w:r>
    </w:p>
    <w:p w14:paraId="0574EB3A">
      <w:pPr>
        <w:spacing w:line="360" w:lineRule="auto"/>
        <w:ind w:left="-15"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（3）不同投标人的投标（响应）文件由同一电子设备打印、复印；</w:t>
      </w:r>
    </w:p>
    <w:p w14:paraId="1C649271">
      <w:pPr>
        <w:spacing w:line="360" w:lineRule="auto"/>
        <w:ind w:left="-15"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（4）不同投标人的投标（响应）文件由同一人送达或者分发，或者不同投标人联系人为同一人或不同联系人的联系电话一致的；</w:t>
      </w:r>
    </w:p>
    <w:p w14:paraId="61EECD29">
      <w:pPr>
        <w:spacing w:line="360" w:lineRule="auto"/>
        <w:ind w:left="-15"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（5）不同投标人的投标（响应）文件的内容存在两处以上细节错误一致；</w:t>
      </w:r>
    </w:p>
    <w:p w14:paraId="1D553E87">
      <w:pPr>
        <w:spacing w:line="360" w:lineRule="auto"/>
        <w:ind w:left="-15"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（6）不同投标人的法定代表人、委托代理人、项目负责人等由同一个单位缴纳社会保险或者领取报酬的；</w:t>
      </w:r>
    </w:p>
    <w:p w14:paraId="71131A96">
      <w:pPr>
        <w:spacing w:line="360" w:lineRule="auto"/>
        <w:ind w:left="-15"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（7）不同投标人投标（响应）文件中法定代表人或者负责人签字出自同一人之手；</w:t>
      </w:r>
    </w:p>
    <w:p w14:paraId="1590D023">
      <w:pPr>
        <w:spacing w:line="360" w:lineRule="auto"/>
        <w:ind w:left="-15"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（8）公共资源交易平台开评标系统雷同性分析中显示不同投标人的投标文件制作机器码相同的；</w:t>
      </w:r>
    </w:p>
    <w:p w14:paraId="38245EE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（9）其它涉嫌串通的情形。</w:t>
      </w:r>
    </w:p>
    <w:p w14:paraId="765BFF07">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资格评审</w:t>
      </w:r>
    </w:p>
    <w:tbl>
      <w:tblPr>
        <w:tblStyle w:val="22"/>
        <w:tblW w:w="986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078"/>
        <w:gridCol w:w="3123"/>
        <w:gridCol w:w="5123"/>
      </w:tblGrid>
      <w:tr w14:paraId="352C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17" w:type="dxa"/>
            <w:gridSpan w:val="2"/>
            <w:noWrap w:val="0"/>
            <w:vAlign w:val="center"/>
          </w:tcPr>
          <w:p w14:paraId="2E4BE857">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条款号</w:t>
            </w:r>
          </w:p>
        </w:tc>
        <w:tc>
          <w:tcPr>
            <w:tcW w:w="3123" w:type="dxa"/>
            <w:noWrap w:val="0"/>
            <w:vAlign w:val="center"/>
          </w:tcPr>
          <w:p w14:paraId="572BC948">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评审因素</w:t>
            </w:r>
          </w:p>
        </w:tc>
        <w:tc>
          <w:tcPr>
            <w:tcW w:w="5123" w:type="dxa"/>
            <w:noWrap w:val="0"/>
            <w:vAlign w:val="center"/>
          </w:tcPr>
          <w:p w14:paraId="78630619">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评审标准</w:t>
            </w:r>
          </w:p>
        </w:tc>
      </w:tr>
      <w:tr w14:paraId="785C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539" w:type="dxa"/>
            <w:vMerge w:val="restart"/>
            <w:noWrap w:val="0"/>
            <w:vAlign w:val="center"/>
          </w:tcPr>
          <w:p w14:paraId="2483044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078" w:type="dxa"/>
            <w:vMerge w:val="restart"/>
            <w:noWrap w:val="0"/>
            <w:vAlign w:val="center"/>
          </w:tcPr>
          <w:p w14:paraId="6D267C32">
            <w:pPr>
              <w:spacing w:line="360" w:lineRule="auto"/>
              <w:jc w:val="center"/>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资格评审标准</w:t>
            </w:r>
          </w:p>
        </w:tc>
        <w:tc>
          <w:tcPr>
            <w:tcW w:w="3123" w:type="dxa"/>
            <w:noWrap w:val="0"/>
            <w:vAlign w:val="center"/>
          </w:tcPr>
          <w:p w14:paraId="4E5DF6F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投标人法定代表人身份证明或法定代表人授权委托书</w:t>
            </w:r>
          </w:p>
        </w:tc>
        <w:tc>
          <w:tcPr>
            <w:tcW w:w="5123" w:type="dxa"/>
            <w:noWrap w:val="0"/>
            <w:vAlign w:val="center"/>
          </w:tcPr>
          <w:p w14:paraId="1853EBC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具备有效的法定代表人身份证明或法定代表人授权委托书</w:t>
            </w:r>
          </w:p>
        </w:tc>
      </w:tr>
      <w:tr w14:paraId="5FA8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39" w:type="dxa"/>
            <w:vMerge w:val="continue"/>
            <w:noWrap w:val="0"/>
            <w:vAlign w:val="center"/>
          </w:tcPr>
          <w:p w14:paraId="53119852">
            <w:pPr>
              <w:spacing w:line="360" w:lineRule="auto"/>
              <w:jc w:val="center"/>
              <w:rPr>
                <w:rFonts w:hint="eastAsia" w:ascii="宋体" w:hAnsi="宋体" w:cs="宋体"/>
                <w:color w:val="auto"/>
                <w:sz w:val="24"/>
                <w:szCs w:val="24"/>
                <w:highlight w:val="none"/>
              </w:rPr>
            </w:pPr>
          </w:p>
        </w:tc>
        <w:tc>
          <w:tcPr>
            <w:tcW w:w="1078" w:type="dxa"/>
            <w:vMerge w:val="continue"/>
            <w:noWrap w:val="0"/>
            <w:vAlign w:val="center"/>
          </w:tcPr>
          <w:p w14:paraId="3D090730">
            <w:pPr>
              <w:spacing w:line="360" w:lineRule="auto"/>
              <w:ind w:firstLine="120" w:firstLineChars="50"/>
              <w:rPr>
                <w:rFonts w:hint="eastAsia" w:ascii="宋体" w:hAnsi="宋体" w:cs="宋体"/>
                <w:color w:val="auto"/>
                <w:sz w:val="24"/>
                <w:szCs w:val="24"/>
                <w:highlight w:val="none"/>
              </w:rPr>
            </w:pPr>
          </w:p>
        </w:tc>
        <w:tc>
          <w:tcPr>
            <w:tcW w:w="3123" w:type="dxa"/>
            <w:noWrap w:val="0"/>
            <w:vAlign w:val="center"/>
          </w:tcPr>
          <w:p w14:paraId="584352E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委托代理人有效身份证</w:t>
            </w:r>
          </w:p>
        </w:tc>
        <w:tc>
          <w:tcPr>
            <w:tcW w:w="5123" w:type="dxa"/>
            <w:noWrap w:val="0"/>
            <w:vAlign w:val="center"/>
          </w:tcPr>
          <w:p w14:paraId="47610F7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具备委托代理人有效身份证复印件</w:t>
            </w:r>
          </w:p>
        </w:tc>
      </w:tr>
      <w:tr w14:paraId="01B7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4" w:hRule="atLeast"/>
        </w:trPr>
        <w:tc>
          <w:tcPr>
            <w:tcW w:w="539" w:type="dxa"/>
            <w:vMerge w:val="continue"/>
            <w:noWrap w:val="0"/>
            <w:vAlign w:val="center"/>
          </w:tcPr>
          <w:p w14:paraId="46CD1DD2">
            <w:pPr>
              <w:spacing w:line="360" w:lineRule="auto"/>
              <w:jc w:val="center"/>
              <w:rPr>
                <w:rFonts w:hint="eastAsia" w:ascii="宋体" w:hAnsi="宋体" w:cs="宋体"/>
                <w:color w:val="auto"/>
                <w:sz w:val="24"/>
                <w:szCs w:val="24"/>
                <w:highlight w:val="none"/>
              </w:rPr>
            </w:pPr>
          </w:p>
        </w:tc>
        <w:tc>
          <w:tcPr>
            <w:tcW w:w="1078" w:type="dxa"/>
            <w:vMerge w:val="continue"/>
            <w:noWrap w:val="0"/>
            <w:vAlign w:val="center"/>
          </w:tcPr>
          <w:p w14:paraId="041AEB26">
            <w:pPr>
              <w:spacing w:line="360" w:lineRule="auto"/>
              <w:jc w:val="center"/>
              <w:rPr>
                <w:rFonts w:hint="eastAsia" w:ascii="宋体" w:hAnsi="宋体" w:cs="宋体"/>
                <w:color w:val="auto"/>
                <w:sz w:val="24"/>
                <w:szCs w:val="24"/>
                <w:highlight w:val="none"/>
              </w:rPr>
            </w:pPr>
          </w:p>
        </w:tc>
        <w:tc>
          <w:tcPr>
            <w:tcW w:w="3123" w:type="dxa"/>
            <w:noWrap w:val="0"/>
            <w:vAlign w:val="center"/>
          </w:tcPr>
          <w:p w14:paraId="2E4AAFB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《中华人民共和国政府采购法》第二十二条的规定；</w:t>
            </w:r>
          </w:p>
        </w:tc>
        <w:tc>
          <w:tcPr>
            <w:tcW w:w="5123" w:type="dxa"/>
            <w:noWrap w:val="0"/>
            <w:vAlign w:val="center"/>
          </w:tcPr>
          <w:p w14:paraId="09E90225">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投标人</w:t>
            </w:r>
            <w:r>
              <w:rPr>
                <w:rFonts w:hint="eastAsia" w:ascii="宋体" w:hAnsi="宋体" w:eastAsia="宋体" w:cs="宋体"/>
                <w:strike w:val="0"/>
                <w:dstrike w:val="0"/>
                <w:color w:val="auto"/>
                <w:sz w:val="24"/>
                <w:szCs w:val="24"/>
                <w:highlight w:val="none"/>
                <w:u w:val="none"/>
                <w:lang w:val="en-US" w:eastAsia="zh-CN"/>
              </w:rPr>
              <w:t>须</w:t>
            </w:r>
            <w:r>
              <w:rPr>
                <w:rFonts w:hint="eastAsia" w:ascii="宋体" w:hAnsi="宋体" w:eastAsia="宋体" w:cs="宋体"/>
                <w:color w:val="auto"/>
                <w:sz w:val="24"/>
                <w:szCs w:val="24"/>
                <w:highlight w:val="none"/>
                <w:lang w:val="en-US" w:eastAsia="zh-CN"/>
              </w:rPr>
              <w:t>具有独立承担民事责任的能力(提供企业法人或者其他组织的营业执照等证明文件或自然人的身份证明</w:t>
            </w:r>
            <w:r>
              <w:rPr>
                <w:rFonts w:hint="eastAsia" w:ascii="宋体" w:hAnsi="宋体" w:cs="宋体"/>
                <w:color w:val="auto"/>
                <w:sz w:val="24"/>
                <w:szCs w:val="24"/>
                <w:highlight w:val="none"/>
                <w:lang w:val="en-US" w:eastAsia="zh-CN"/>
              </w:rPr>
              <w:t>）</w:t>
            </w:r>
          </w:p>
          <w:p w14:paraId="0C4A54E0">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2、具有良好的商业信誉和健全的财务会计制度。（提供承诺函,格式自拟)</w:t>
            </w:r>
          </w:p>
          <w:p w14:paraId="1E59296F">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3、具有履行合同所必需的设备和专业技术能力。（提供承诺函,格式自拟)</w:t>
            </w:r>
          </w:p>
          <w:p w14:paraId="606BB70D">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4、有依法缴纳税收和社会保障资金的良好记录。（提供承诺函,格式自拟)</w:t>
            </w:r>
          </w:p>
          <w:p w14:paraId="74A8842E">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5、参加政府采购活动近三年内，在经营活动中没有重大违法记录。（提供承诺函，格式自拟，成立不足三年的新企业从成立时间开始)</w:t>
            </w:r>
          </w:p>
          <w:p w14:paraId="17D27F70">
            <w:pPr>
              <w:pStyle w:val="4"/>
              <w:numPr>
                <w:ilvl w:val="0"/>
                <w:numId w:val="0"/>
              </w:numPr>
              <w:rPr>
                <w:rFonts w:hint="eastAsia"/>
                <w:highlight w:val="none"/>
              </w:rPr>
            </w:pP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lang w:eastAsia="zh-CN"/>
              </w:rPr>
              <w:t>符合</w:t>
            </w:r>
            <w:r>
              <w:rPr>
                <w:rFonts w:hint="eastAsia" w:ascii="宋体" w:hAnsi="宋体" w:eastAsia="宋体" w:cs="宋体"/>
                <w:color w:val="auto"/>
                <w:spacing w:val="4"/>
                <w:sz w:val="24"/>
                <w:szCs w:val="24"/>
                <w:highlight w:val="none"/>
              </w:rPr>
              <w:t>法律、行政法规规定的其他条件（提供承诺书）</w:t>
            </w:r>
          </w:p>
        </w:tc>
      </w:tr>
      <w:tr w14:paraId="50AC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39" w:type="dxa"/>
            <w:vMerge w:val="continue"/>
            <w:noWrap w:val="0"/>
            <w:vAlign w:val="center"/>
          </w:tcPr>
          <w:p w14:paraId="44D111B0">
            <w:pPr>
              <w:spacing w:line="360" w:lineRule="auto"/>
              <w:jc w:val="center"/>
              <w:rPr>
                <w:rFonts w:hint="eastAsia" w:ascii="宋体" w:hAnsi="宋体" w:cs="宋体"/>
                <w:color w:val="auto"/>
                <w:sz w:val="24"/>
                <w:szCs w:val="24"/>
                <w:highlight w:val="none"/>
              </w:rPr>
            </w:pPr>
          </w:p>
        </w:tc>
        <w:tc>
          <w:tcPr>
            <w:tcW w:w="1078" w:type="dxa"/>
            <w:vMerge w:val="continue"/>
            <w:noWrap w:val="0"/>
            <w:vAlign w:val="center"/>
          </w:tcPr>
          <w:p w14:paraId="4870BE91">
            <w:pPr>
              <w:spacing w:line="360" w:lineRule="auto"/>
              <w:jc w:val="center"/>
              <w:rPr>
                <w:rFonts w:hint="eastAsia" w:ascii="宋体" w:hAnsi="宋体" w:cs="宋体"/>
                <w:color w:val="auto"/>
                <w:sz w:val="24"/>
                <w:szCs w:val="24"/>
                <w:highlight w:val="none"/>
              </w:rPr>
            </w:pPr>
          </w:p>
        </w:tc>
        <w:tc>
          <w:tcPr>
            <w:tcW w:w="3123" w:type="dxa"/>
            <w:noWrap w:val="0"/>
            <w:vAlign w:val="center"/>
          </w:tcPr>
          <w:p w14:paraId="1AE63DD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w:t>
            </w:r>
          </w:p>
        </w:tc>
        <w:tc>
          <w:tcPr>
            <w:tcW w:w="5123" w:type="dxa"/>
            <w:noWrap w:val="0"/>
            <w:vAlign w:val="center"/>
          </w:tcPr>
          <w:p w14:paraId="3167D78A">
            <w:pPr>
              <w:spacing w:line="360" w:lineRule="auto"/>
              <w:rPr>
                <w:rFonts w:hint="eastAsia" w:ascii="宋体" w:hAnsi="宋体" w:cs="宋体"/>
                <w:color w:val="auto"/>
                <w:spacing w:val="4"/>
                <w:sz w:val="24"/>
                <w:szCs w:val="24"/>
                <w:highlight w:val="none"/>
              </w:rPr>
            </w:pPr>
            <w:r>
              <w:rPr>
                <w:rFonts w:hint="eastAsia" w:ascii="宋体" w:hAnsi="宋体" w:cs="宋体"/>
                <w:color w:val="auto"/>
                <w:sz w:val="24"/>
                <w:szCs w:val="24"/>
                <w:highlight w:val="none"/>
              </w:rPr>
              <w:t>符合第二章投标人须知中关于投标人的资格要求的所有要求</w:t>
            </w:r>
          </w:p>
        </w:tc>
      </w:tr>
    </w:tbl>
    <w:p w14:paraId="0EB37007">
      <w:pPr>
        <w:spacing w:line="360" w:lineRule="auto"/>
        <w:ind w:firstLine="472" w:firstLineChars="196"/>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7.3初步评审</w:t>
      </w:r>
      <w:bookmarkEnd w:id="531"/>
    </w:p>
    <w:p w14:paraId="3DF532E5">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在熟悉招标文件和审阅投标人的投标文件的基础上，评标委员会将根据评标标准和方法，对投标文件进行初步评审。主要检查投标文件的内容是否完整，是否实质上响应招标文件，排除不合格投标人。</w:t>
      </w:r>
    </w:p>
    <w:p w14:paraId="2BA5DAB1">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时，评标委员会对电子投标文件有质疑的，将通过电子化交易系统对投标人发起质疑。质疑回复内容确认后，投标人的回复文件必须以经过投标人和其法定代表人签章的PDF格式文件为准，并通过电子化交易系统提交至评标委员会。如评标委员会对需要回复的投标人回复内容有异议的，经过几次回复仍不清楚的，需在监督下进行免提电话进行质疑。</w:t>
      </w:r>
    </w:p>
    <w:p w14:paraId="7DA30FCC">
      <w:pPr>
        <w:autoSpaceDE w:val="0"/>
        <w:autoSpaceDN w:val="0"/>
        <w:adjustRightInd w:val="0"/>
        <w:spacing w:line="360" w:lineRule="auto"/>
        <w:ind w:firstLine="616" w:firstLineChars="25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评标委员会依据招标文件要求对投标文件进行初步评审。有一项不符合评审标准的，作废标处理。</w:t>
      </w:r>
    </w:p>
    <w:p w14:paraId="325B6941">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投标人有以下情形之一的，其投标作废标处理：</w:t>
      </w:r>
    </w:p>
    <w:p w14:paraId="29BE4B6E">
      <w:pPr>
        <w:numPr>
          <w:ilvl w:val="0"/>
          <w:numId w:val="7"/>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第二章“投标人须知”第1.4.3项规定的任何一种情形的；</w:t>
      </w:r>
    </w:p>
    <w:p w14:paraId="6C243E6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（2）串通投标或弄虚作假或有其他违法行为的；</w:t>
      </w:r>
    </w:p>
    <w:p w14:paraId="2405C15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（3）不按评标委员会要求澄清、说明或补正的。</w:t>
      </w:r>
    </w:p>
    <w:p w14:paraId="7F23030F">
      <w:pPr>
        <w:spacing w:line="360" w:lineRule="auto"/>
        <w:ind w:firstLine="472" w:firstLineChars="196"/>
        <w:rPr>
          <w:rFonts w:hint="eastAsia" w:ascii="宋体" w:hAnsi="宋体" w:cs="宋体"/>
          <w:b/>
          <w:bCs/>
          <w:color w:val="auto"/>
          <w:sz w:val="24"/>
          <w:szCs w:val="24"/>
          <w:highlight w:val="none"/>
        </w:rPr>
      </w:pPr>
      <w:bookmarkStart w:id="532" w:name="_Toc215997497"/>
      <w:r>
        <w:rPr>
          <w:rFonts w:hint="eastAsia" w:ascii="宋体" w:hAnsi="宋体" w:cs="宋体"/>
          <w:b/>
          <w:bCs/>
          <w:color w:val="auto"/>
          <w:sz w:val="24"/>
          <w:szCs w:val="24"/>
          <w:highlight w:val="none"/>
        </w:rPr>
        <w:t>7.4 详细评审</w:t>
      </w:r>
      <w:bookmarkEnd w:id="532"/>
    </w:p>
    <w:p w14:paraId="65866D35">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7.4.1评标委员会根据初步评审结果和对投标人的澄清问题书面回复材料评审的基础上，确定进入详细评审的投标人名单。对进入详评阶段投标人的报价、商务、技术三个方面进行综合分析、比较、评审。</w:t>
      </w:r>
    </w:p>
    <w:p w14:paraId="1798CE1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7.4.2投标人的最终得分以全部评委打分的算术平均值为准，作为该投标人的最终得分。</w:t>
      </w:r>
    </w:p>
    <w:p w14:paraId="49BB65B7">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7.4.3 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14:paraId="6A7E6A96">
      <w:pPr>
        <w:spacing w:line="360" w:lineRule="auto"/>
        <w:ind w:firstLine="472" w:firstLineChars="196"/>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7.5 评分办法</w:t>
      </w:r>
    </w:p>
    <w:p w14:paraId="6D056D99">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评标委员会按下列评标办法进行计分评标：</w:t>
      </w:r>
    </w:p>
    <w:p w14:paraId="6BA4D16A">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初步评审</w:t>
      </w:r>
    </w:p>
    <w:tbl>
      <w:tblPr>
        <w:tblStyle w:val="22"/>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179"/>
        <w:gridCol w:w="2060"/>
        <w:gridCol w:w="5342"/>
      </w:tblGrid>
      <w:tr w14:paraId="2FAE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019" w:type="dxa"/>
            <w:gridSpan w:val="2"/>
            <w:noWrap w:val="0"/>
            <w:vAlign w:val="center"/>
          </w:tcPr>
          <w:p w14:paraId="6DCF28E6">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条款号</w:t>
            </w:r>
          </w:p>
        </w:tc>
        <w:tc>
          <w:tcPr>
            <w:tcW w:w="2060" w:type="dxa"/>
            <w:noWrap w:val="0"/>
            <w:vAlign w:val="center"/>
          </w:tcPr>
          <w:p w14:paraId="602B869F">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评审因素</w:t>
            </w:r>
          </w:p>
        </w:tc>
        <w:tc>
          <w:tcPr>
            <w:tcW w:w="5342" w:type="dxa"/>
            <w:noWrap w:val="0"/>
            <w:vAlign w:val="center"/>
          </w:tcPr>
          <w:p w14:paraId="240FE602">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评审标准</w:t>
            </w:r>
          </w:p>
        </w:tc>
      </w:tr>
      <w:tr w14:paraId="76C9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0" w:type="dxa"/>
            <w:vMerge w:val="restart"/>
            <w:noWrap w:val="0"/>
            <w:vAlign w:val="center"/>
          </w:tcPr>
          <w:p w14:paraId="27CF5D6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179" w:type="dxa"/>
            <w:vMerge w:val="restart"/>
            <w:noWrap w:val="0"/>
            <w:vAlign w:val="center"/>
          </w:tcPr>
          <w:p w14:paraId="6D531C6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形式评审标准</w:t>
            </w:r>
          </w:p>
        </w:tc>
        <w:tc>
          <w:tcPr>
            <w:tcW w:w="2060" w:type="dxa"/>
            <w:noWrap w:val="0"/>
            <w:vAlign w:val="center"/>
          </w:tcPr>
          <w:p w14:paraId="6812272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5342" w:type="dxa"/>
            <w:noWrap w:val="0"/>
            <w:vAlign w:val="center"/>
          </w:tcPr>
          <w:p w14:paraId="23BC186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与营业执照、开户许可证一致</w:t>
            </w:r>
          </w:p>
        </w:tc>
      </w:tr>
      <w:tr w14:paraId="3BE0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0" w:type="dxa"/>
            <w:vMerge w:val="continue"/>
            <w:noWrap w:val="0"/>
            <w:vAlign w:val="center"/>
          </w:tcPr>
          <w:p w14:paraId="39ACB952">
            <w:pPr>
              <w:spacing w:line="360" w:lineRule="auto"/>
              <w:jc w:val="center"/>
              <w:rPr>
                <w:rFonts w:hint="eastAsia" w:ascii="宋体" w:hAnsi="宋体" w:cs="宋体"/>
                <w:color w:val="auto"/>
                <w:sz w:val="24"/>
                <w:szCs w:val="24"/>
                <w:highlight w:val="none"/>
              </w:rPr>
            </w:pPr>
          </w:p>
        </w:tc>
        <w:tc>
          <w:tcPr>
            <w:tcW w:w="1179" w:type="dxa"/>
            <w:vMerge w:val="continue"/>
            <w:noWrap w:val="0"/>
            <w:vAlign w:val="center"/>
          </w:tcPr>
          <w:p w14:paraId="7B02DFCA">
            <w:pPr>
              <w:spacing w:line="360" w:lineRule="auto"/>
              <w:jc w:val="center"/>
              <w:rPr>
                <w:rFonts w:hint="eastAsia" w:ascii="宋体" w:hAnsi="宋体" w:cs="宋体"/>
                <w:color w:val="auto"/>
                <w:sz w:val="24"/>
                <w:szCs w:val="24"/>
                <w:highlight w:val="none"/>
              </w:rPr>
            </w:pPr>
          </w:p>
        </w:tc>
        <w:tc>
          <w:tcPr>
            <w:tcW w:w="2060" w:type="dxa"/>
            <w:noWrap w:val="0"/>
            <w:vAlign w:val="center"/>
          </w:tcPr>
          <w:p w14:paraId="2FE4CF5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投标文件的签字盖章</w:t>
            </w:r>
          </w:p>
        </w:tc>
        <w:tc>
          <w:tcPr>
            <w:tcW w:w="5342" w:type="dxa"/>
            <w:noWrap w:val="0"/>
            <w:vAlign w:val="center"/>
          </w:tcPr>
          <w:p w14:paraId="02458D7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按招标文件要求签字盖章</w:t>
            </w:r>
          </w:p>
        </w:tc>
      </w:tr>
      <w:tr w14:paraId="5CD3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840" w:type="dxa"/>
            <w:vMerge w:val="continue"/>
            <w:noWrap w:val="0"/>
            <w:vAlign w:val="center"/>
          </w:tcPr>
          <w:p w14:paraId="5893830E">
            <w:pPr>
              <w:spacing w:line="360" w:lineRule="auto"/>
              <w:jc w:val="center"/>
              <w:rPr>
                <w:rFonts w:hint="eastAsia" w:ascii="宋体" w:hAnsi="宋体" w:cs="宋体"/>
                <w:color w:val="auto"/>
                <w:sz w:val="24"/>
                <w:szCs w:val="24"/>
                <w:highlight w:val="none"/>
              </w:rPr>
            </w:pPr>
          </w:p>
        </w:tc>
        <w:tc>
          <w:tcPr>
            <w:tcW w:w="1179" w:type="dxa"/>
            <w:vMerge w:val="continue"/>
            <w:noWrap w:val="0"/>
            <w:vAlign w:val="center"/>
          </w:tcPr>
          <w:p w14:paraId="673C2742">
            <w:pPr>
              <w:spacing w:line="360" w:lineRule="auto"/>
              <w:jc w:val="center"/>
              <w:rPr>
                <w:rFonts w:hint="eastAsia" w:ascii="宋体" w:hAnsi="宋体" w:cs="宋体"/>
                <w:color w:val="auto"/>
                <w:sz w:val="24"/>
                <w:szCs w:val="24"/>
                <w:highlight w:val="none"/>
              </w:rPr>
            </w:pPr>
          </w:p>
        </w:tc>
        <w:tc>
          <w:tcPr>
            <w:tcW w:w="2060" w:type="dxa"/>
            <w:noWrap w:val="0"/>
            <w:vAlign w:val="center"/>
          </w:tcPr>
          <w:p w14:paraId="33C737D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投标文件格式</w:t>
            </w:r>
          </w:p>
        </w:tc>
        <w:tc>
          <w:tcPr>
            <w:tcW w:w="5342" w:type="dxa"/>
            <w:noWrap w:val="0"/>
            <w:vAlign w:val="center"/>
          </w:tcPr>
          <w:p w14:paraId="732F573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符合第六章“投标文件格式”的要求</w:t>
            </w:r>
          </w:p>
        </w:tc>
      </w:tr>
      <w:tr w14:paraId="62C1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840" w:type="dxa"/>
            <w:vMerge w:val="continue"/>
            <w:noWrap w:val="0"/>
            <w:vAlign w:val="center"/>
          </w:tcPr>
          <w:p w14:paraId="54FD1ED7">
            <w:pPr>
              <w:spacing w:line="360" w:lineRule="auto"/>
              <w:jc w:val="center"/>
              <w:rPr>
                <w:rFonts w:hint="eastAsia" w:ascii="宋体" w:hAnsi="宋体" w:cs="宋体"/>
                <w:color w:val="auto"/>
                <w:sz w:val="24"/>
                <w:szCs w:val="24"/>
                <w:highlight w:val="none"/>
              </w:rPr>
            </w:pPr>
          </w:p>
        </w:tc>
        <w:tc>
          <w:tcPr>
            <w:tcW w:w="1179" w:type="dxa"/>
            <w:vMerge w:val="continue"/>
            <w:noWrap w:val="0"/>
            <w:vAlign w:val="center"/>
          </w:tcPr>
          <w:p w14:paraId="27AAD4C9">
            <w:pPr>
              <w:spacing w:line="360" w:lineRule="auto"/>
              <w:jc w:val="center"/>
              <w:rPr>
                <w:rFonts w:hint="eastAsia" w:ascii="宋体" w:hAnsi="宋体" w:cs="宋体"/>
                <w:color w:val="auto"/>
                <w:sz w:val="24"/>
                <w:szCs w:val="24"/>
                <w:highlight w:val="none"/>
              </w:rPr>
            </w:pPr>
          </w:p>
        </w:tc>
        <w:tc>
          <w:tcPr>
            <w:tcW w:w="2060" w:type="dxa"/>
            <w:noWrap w:val="0"/>
            <w:vAlign w:val="center"/>
          </w:tcPr>
          <w:p w14:paraId="41C423D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报价唯一</w:t>
            </w:r>
          </w:p>
        </w:tc>
        <w:tc>
          <w:tcPr>
            <w:tcW w:w="5342" w:type="dxa"/>
            <w:noWrap w:val="0"/>
            <w:vAlign w:val="center"/>
          </w:tcPr>
          <w:p w14:paraId="613DF5C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只能有一个有效报价</w:t>
            </w:r>
          </w:p>
        </w:tc>
      </w:tr>
      <w:tr w14:paraId="34AA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40" w:type="dxa"/>
            <w:vMerge w:val="restart"/>
            <w:noWrap w:val="0"/>
            <w:vAlign w:val="center"/>
          </w:tcPr>
          <w:p w14:paraId="44D0B89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179" w:type="dxa"/>
            <w:vMerge w:val="restart"/>
            <w:noWrap w:val="0"/>
            <w:vAlign w:val="center"/>
          </w:tcPr>
          <w:p w14:paraId="0CDC7EC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响应性评审标准</w:t>
            </w:r>
          </w:p>
        </w:tc>
        <w:tc>
          <w:tcPr>
            <w:tcW w:w="2060" w:type="dxa"/>
            <w:noWrap w:val="0"/>
            <w:vAlign w:val="center"/>
          </w:tcPr>
          <w:p w14:paraId="2764A1B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投标报价</w:t>
            </w:r>
          </w:p>
        </w:tc>
        <w:tc>
          <w:tcPr>
            <w:tcW w:w="5342" w:type="dxa"/>
            <w:noWrap w:val="0"/>
            <w:vAlign w:val="center"/>
          </w:tcPr>
          <w:p w14:paraId="36A5A74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符合第二章“投标人须知”第3.2项规定</w:t>
            </w:r>
          </w:p>
        </w:tc>
      </w:tr>
      <w:tr w14:paraId="6C01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0" w:type="dxa"/>
            <w:vMerge w:val="continue"/>
            <w:noWrap w:val="0"/>
            <w:vAlign w:val="center"/>
          </w:tcPr>
          <w:p w14:paraId="307C8BF1">
            <w:pPr>
              <w:spacing w:line="360" w:lineRule="auto"/>
              <w:jc w:val="center"/>
              <w:rPr>
                <w:rFonts w:hint="eastAsia" w:ascii="宋体" w:hAnsi="宋体" w:cs="宋体"/>
                <w:color w:val="auto"/>
                <w:sz w:val="24"/>
                <w:szCs w:val="24"/>
                <w:highlight w:val="none"/>
              </w:rPr>
            </w:pPr>
          </w:p>
        </w:tc>
        <w:tc>
          <w:tcPr>
            <w:tcW w:w="1179" w:type="dxa"/>
            <w:vMerge w:val="continue"/>
            <w:noWrap w:val="0"/>
            <w:vAlign w:val="center"/>
          </w:tcPr>
          <w:p w14:paraId="080F6D96">
            <w:pPr>
              <w:spacing w:line="360" w:lineRule="auto"/>
              <w:jc w:val="center"/>
              <w:rPr>
                <w:rFonts w:hint="eastAsia" w:ascii="宋体" w:hAnsi="宋体" w:cs="宋体"/>
                <w:color w:val="auto"/>
                <w:sz w:val="24"/>
                <w:szCs w:val="24"/>
                <w:highlight w:val="none"/>
              </w:rPr>
            </w:pPr>
          </w:p>
        </w:tc>
        <w:tc>
          <w:tcPr>
            <w:tcW w:w="2060" w:type="dxa"/>
            <w:noWrap w:val="0"/>
            <w:vAlign w:val="center"/>
          </w:tcPr>
          <w:p w14:paraId="5C0C3E2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投标内容</w:t>
            </w:r>
          </w:p>
        </w:tc>
        <w:tc>
          <w:tcPr>
            <w:tcW w:w="5342" w:type="dxa"/>
            <w:noWrap w:val="0"/>
            <w:vAlign w:val="center"/>
          </w:tcPr>
          <w:p w14:paraId="4505665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符合第二章“投标人须知前附表”第7项规定</w:t>
            </w:r>
          </w:p>
        </w:tc>
      </w:tr>
      <w:tr w14:paraId="6ACA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0" w:type="dxa"/>
            <w:vMerge w:val="continue"/>
            <w:noWrap w:val="0"/>
            <w:vAlign w:val="center"/>
          </w:tcPr>
          <w:p w14:paraId="77E0B8F1">
            <w:pPr>
              <w:spacing w:line="360" w:lineRule="auto"/>
              <w:jc w:val="center"/>
              <w:rPr>
                <w:rFonts w:hint="eastAsia" w:ascii="宋体" w:hAnsi="宋体" w:cs="宋体"/>
                <w:color w:val="auto"/>
                <w:sz w:val="24"/>
                <w:szCs w:val="24"/>
                <w:highlight w:val="none"/>
              </w:rPr>
            </w:pPr>
          </w:p>
        </w:tc>
        <w:tc>
          <w:tcPr>
            <w:tcW w:w="1179" w:type="dxa"/>
            <w:vMerge w:val="continue"/>
            <w:noWrap w:val="0"/>
            <w:vAlign w:val="center"/>
          </w:tcPr>
          <w:p w14:paraId="6AAEB1B6">
            <w:pPr>
              <w:spacing w:line="360" w:lineRule="auto"/>
              <w:jc w:val="center"/>
              <w:rPr>
                <w:rFonts w:hint="eastAsia" w:ascii="宋体" w:hAnsi="宋体" w:cs="宋体"/>
                <w:color w:val="auto"/>
                <w:sz w:val="24"/>
                <w:szCs w:val="24"/>
                <w:highlight w:val="none"/>
              </w:rPr>
            </w:pPr>
          </w:p>
        </w:tc>
        <w:tc>
          <w:tcPr>
            <w:tcW w:w="2060" w:type="dxa"/>
            <w:noWrap w:val="0"/>
            <w:vAlign w:val="center"/>
          </w:tcPr>
          <w:p w14:paraId="2ABB725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5342" w:type="dxa"/>
            <w:noWrap w:val="0"/>
            <w:vAlign w:val="center"/>
          </w:tcPr>
          <w:p w14:paraId="610C7FE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符合第二章“投标人须知前附表”第9项规定</w:t>
            </w:r>
          </w:p>
        </w:tc>
      </w:tr>
      <w:tr w14:paraId="0611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0" w:type="dxa"/>
            <w:vMerge w:val="continue"/>
            <w:noWrap w:val="0"/>
            <w:vAlign w:val="center"/>
          </w:tcPr>
          <w:p w14:paraId="17617E0E">
            <w:pPr>
              <w:spacing w:line="360" w:lineRule="auto"/>
              <w:jc w:val="center"/>
              <w:rPr>
                <w:rFonts w:hint="eastAsia" w:ascii="宋体" w:hAnsi="宋体" w:cs="宋体"/>
                <w:color w:val="auto"/>
                <w:sz w:val="24"/>
                <w:szCs w:val="24"/>
                <w:highlight w:val="none"/>
              </w:rPr>
            </w:pPr>
          </w:p>
        </w:tc>
        <w:tc>
          <w:tcPr>
            <w:tcW w:w="1179" w:type="dxa"/>
            <w:vMerge w:val="continue"/>
            <w:noWrap w:val="0"/>
            <w:vAlign w:val="center"/>
          </w:tcPr>
          <w:p w14:paraId="0C26F343">
            <w:pPr>
              <w:spacing w:line="360" w:lineRule="auto"/>
              <w:jc w:val="center"/>
              <w:rPr>
                <w:rFonts w:hint="eastAsia" w:ascii="宋体" w:hAnsi="宋体" w:cs="宋体"/>
                <w:color w:val="auto"/>
                <w:sz w:val="24"/>
                <w:szCs w:val="24"/>
                <w:highlight w:val="none"/>
              </w:rPr>
            </w:pPr>
          </w:p>
        </w:tc>
        <w:tc>
          <w:tcPr>
            <w:tcW w:w="2060" w:type="dxa"/>
            <w:noWrap w:val="0"/>
            <w:vAlign w:val="center"/>
          </w:tcPr>
          <w:p w14:paraId="2790A12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服务标准</w:t>
            </w:r>
          </w:p>
        </w:tc>
        <w:tc>
          <w:tcPr>
            <w:tcW w:w="5342" w:type="dxa"/>
            <w:noWrap w:val="0"/>
            <w:vAlign w:val="center"/>
          </w:tcPr>
          <w:p w14:paraId="5158B25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符合第二章“投标人须知前附表”第10项规定</w:t>
            </w:r>
          </w:p>
        </w:tc>
      </w:tr>
      <w:tr w14:paraId="0EDE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0" w:type="dxa"/>
            <w:vMerge w:val="continue"/>
            <w:noWrap w:val="0"/>
            <w:vAlign w:val="center"/>
          </w:tcPr>
          <w:p w14:paraId="455F72EC">
            <w:pPr>
              <w:spacing w:line="360" w:lineRule="auto"/>
              <w:jc w:val="center"/>
              <w:rPr>
                <w:rFonts w:hint="eastAsia" w:ascii="宋体" w:hAnsi="宋体" w:cs="宋体"/>
                <w:color w:val="auto"/>
                <w:sz w:val="24"/>
                <w:szCs w:val="24"/>
                <w:highlight w:val="none"/>
              </w:rPr>
            </w:pPr>
          </w:p>
        </w:tc>
        <w:tc>
          <w:tcPr>
            <w:tcW w:w="1179" w:type="dxa"/>
            <w:vMerge w:val="continue"/>
            <w:noWrap w:val="0"/>
            <w:vAlign w:val="center"/>
          </w:tcPr>
          <w:p w14:paraId="072F2758">
            <w:pPr>
              <w:spacing w:line="360" w:lineRule="auto"/>
              <w:jc w:val="center"/>
              <w:rPr>
                <w:rFonts w:hint="eastAsia" w:ascii="宋体" w:hAnsi="宋体" w:cs="宋体"/>
                <w:color w:val="auto"/>
                <w:sz w:val="24"/>
                <w:szCs w:val="24"/>
                <w:highlight w:val="none"/>
              </w:rPr>
            </w:pPr>
          </w:p>
        </w:tc>
        <w:tc>
          <w:tcPr>
            <w:tcW w:w="2060" w:type="dxa"/>
            <w:noWrap w:val="0"/>
            <w:vAlign w:val="center"/>
          </w:tcPr>
          <w:p w14:paraId="4EE0DD6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5342" w:type="dxa"/>
            <w:noWrap w:val="0"/>
            <w:vAlign w:val="center"/>
          </w:tcPr>
          <w:p w14:paraId="493CB43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符合第二章“投标人须知前附表”第30项规定</w:t>
            </w:r>
          </w:p>
        </w:tc>
      </w:tr>
    </w:tbl>
    <w:p w14:paraId="36C0DAE9">
      <w:pPr>
        <w:spacing w:line="360" w:lineRule="auto"/>
        <w:jc w:val="center"/>
        <w:rPr>
          <w:rFonts w:hint="eastAsia" w:ascii="宋体" w:hAnsi="宋体" w:cs="宋体"/>
          <w:b/>
          <w:bCs/>
          <w:color w:val="auto"/>
          <w:sz w:val="24"/>
          <w:szCs w:val="24"/>
          <w:highlight w:val="none"/>
        </w:rPr>
      </w:pPr>
    </w:p>
    <w:p w14:paraId="036A5E71">
      <w:pPr>
        <w:rPr>
          <w:rFonts w:hint="eastAsia"/>
          <w:highlight w:val="none"/>
        </w:rPr>
      </w:pPr>
      <w:r>
        <w:rPr>
          <w:rFonts w:hint="eastAsia" w:ascii="宋体" w:hAnsi="宋体" w:cs="宋体"/>
          <w:b/>
          <w:bCs/>
          <w:color w:val="auto"/>
          <w:sz w:val="24"/>
          <w:szCs w:val="24"/>
          <w:highlight w:val="none"/>
        </w:rPr>
        <w:t>详细评审</w:t>
      </w:r>
    </w:p>
    <w:p w14:paraId="3EEE07C5">
      <w:pPr>
        <w:rPr>
          <w:rFonts w:hint="eastAsia"/>
          <w:highlight w:val="none"/>
        </w:rPr>
      </w:pPr>
    </w:p>
    <w:tbl>
      <w:tblPr>
        <w:tblStyle w:val="22"/>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9"/>
        <w:gridCol w:w="1306"/>
        <w:gridCol w:w="1572"/>
        <w:gridCol w:w="6017"/>
      </w:tblGrid>
      <w:tr w14:paraId="102D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482" w:type="pct"/>
            <w:tcBorders>
              <w:top w:val="single" w:color="auto" w:sz="8" w:space="0"/>
              <w:left w:val="single" w:color="auto" w:sz="8" w:space="0"/>
              <w:bottom w:val="single" w:color="auto" w:sz="8" w:space="0"/>
              <w:right w:val="single" w:color="auto" w:sz="8" w:space="0"/>
            </w:tcBorders>
            <w:shd w:val="clear" w:color="auto" w:fill="auto"/>
            <w:vAlign w:val="center"/>
          </w:tcPr>
          <w:p w14:paraId="778C8D2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663" w:type="pct"/>
            <w:tcBorders>
              <w:top w:val="single" w:color="auto" w:sz="8" w:space="0"/>
              <w:left w:val="nil"/>
              <w:bottom w:val="single" w:color="auto" w:sz="8" w:space="0"/>
              <w:right w:val="single" w:color="auto" w:sz="8" w:space="0"/>
            </w:tcBorders>
            <w:shd w:val="clear" w:color="auto" w:fill="auto"/>
            <w:vAlign w:val="center"/>
          </w:tcPr>
          <w:p w14:paraId="0AF8C28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评审因素</w:t>
            </w:r>
          </w:p>
        </w:tc>
        <w:tc>
          <w:tcPr>
            <w:tcW w:w="798" w:type="pct"/>
            <w:tcBorders>
              <w:top w:val="single" w:color="auto" w:sz="8" w:space="0"/>
              <w:left w:val="nil"/>
              <w:bottom w:val="single" w:color="auto" w:sz="8" w:space="0"/>
              <w:right w:val="single" w:color="auto" w:sz="8" w:space="0"/>
            </w:tcBorders>
            <w:shd w:val="clear" w:color="auto" w:fill="auto"/>
            <w:vAlign w:val="center"/>
          </w:tcPr>
          <w:p w14:paraId="628278B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评分内容</w:t>
            </w:r>
          </w:p>
        </w:tc>
        <w:tc>
          <w:tcPr>
            <w:tcW w:w="3055" w:type="pct"/>
            <w:tcBorders>
              <w:top w:val="single" w:color="auto" w:sz="8" w:space="0"/>
              <w:left w:val="nil"/>
              <w:bottom w:val="single" w:color="auto" w:sz="8" w:space="0"/>
              <w:right w:val="single" w:color="auto" w:sz="8" w:space="0"/>
            </w:tcBorders>
            <w:shd w:val="clear" w:color="auto" w:fill="auto"/>
            <w:vAlign w:val="center"/>
          </w:tcPr>
          <w:p w14:paraId="7F1DB17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评审标准</w:t>
            </w:r>
          </w:p>
        </w:tc>
      </w:tr>
      <w:tr w14:paraId="2DF2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3" w:hRule="atLeast"/>
        </w:trPr>
        <w:tc>
          <w:tcPr>
            <w:tcW w:w="482" w:type="pct"/>
            <w:tcBorders>
              <w:top w:val="nil"/>
              <w:left w:val="single" w:color="auto" w:sz="8" w:space="0"/>
              <w:bottom w:val="single" w:color="auto" w:sz="4" w:space="0"/>
              <w:right w:val="single" w:color="auto" w:sz="8" w:space="0"/>
            </w:tcBorders>
            <w:shd w:val="clear" w:color="auto" w:fill="auto"/>
            <w:vAlign w:val="center"/>
          </w:tcPr>
          <w:p w14:paraId="7F446A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63" w:type="pct"/>
            <w:tcBorders>
              <w:top w:val="nil"/>
              <w:left w:val="nil"/>
              <w:bottom w:val="single" w:color="auto" w:sz="4" w:space="0"/>
              <w:right w:val="single" w:color="auto" w:sz="8" w:space="0"/>
            </w:tcBorders>
            <w:shd w:val="clear" w:color="auto" w:fill="auto"/>
            <w:vAlign w:val="center"/>
          </w:tcPr>
          <w:p w14:paraId="73E629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报价部分（10分）</w:t>
            </w:r>
          </w:p>
        </w:tc>
        <w:tc>
          <w:tcPr>
            <w:tcW w:w="798" w:type="pct"/>
            <w:tcBorders>
              <w:top w:val="nil"/>
              <w:left w:val="nil"/>
              <w:bottom w:val="single" w:color="auto" w:sz="4" w:space="0"/>
              <w:right w:val="single" w:color="auto" w:sz="8" w:space="0"/>
            </w:tcBorders>
            <w:shd w:val="clear" w:color="auto" w:fill="auto"/>
            <w:vAlign w:val="center"/>
          </w:tcPr>
          <w:p w14:paraId="12A9EFF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投标报价评审（10分）</w:t>
            </w:r>
          </w:p>
        </w:tc>
        <w:tc>
          <w:tcPr>
            <w:tcW w:w="3055" w:type="pct"/>
            <w:tcBorders>
              <w:top w:val="nil"/>
              <w:left w:val="nil"/>
              <w:bottom w:val="single" w:color="auto" w:sz="4" w:space="0"/>
              <w:right w:val="single" w:color="auto" w:sz="8" w:space="0"/>
            </w:tcBorders>
            <w:shd w:val="clear" w:color="auto" w:fill="auto"/>
            <w:vAlign w:val="center"/>
          </w:tcPr>
          <w:p w14:paraId="555BFD6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按照《财政部关于加强政府采购货物和服务项目价格评审管理 的通知》（财库〔2007〕2 号）规定，综合评分法中的价格分用低价优先法计算，即满足招标文件要求且投标价格最低的投标报价为评标基准价，其价格分为满分。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本项目评标基准价满分为10分。 其他有效报价得分=（评标基准价／投标报价）×10%×100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监狱企业、残疾人福利性企业、小型和微型企业产品价格给予扣除标准：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根据《政府采购促进中小企业发展管理办法》(财库[2020]46 号) 的规定，对小型和微型企业报价给予</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0%的扣除，用扣除后的报价参与评审。 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1）投标单位若为小型或微型企业，须提供中小企业声明函（格式见招标文件附件），并对其真实性负责；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2）投标单位若为残疾人福利性单位，须按规定提供《残疾人福利性单位声明函》（格式见招标文件附件），并对其真实性负责；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3）投标单位若为监狱企业，须提供由省级以上监狱管理局、戒毒管理局（含新疆生产建设兵团）出具的属于监狱企业的证明文件；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4）投标单位为小型或微型企业的，同时又为残疾人福利性单位或监狱企业的，不重复享受政策。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按照评标办法和标准产生的评标价仅限于评标的比较，不作为中标价和合同签约价，中标价和合同签约价仍以其投标文件中的报价为准。 </w:t>
            </w:r>
          </w:p>
        </w:tc>
      </w:tr>
      <w:tr w14:paraId="285C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482" w:type="pct"/>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649DB6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63" w:type="pct"/>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3AF41A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技术部分（65分）</w:t>
            </w:r>
          </w:p>
        </w:tc>
        <w:tc>
          <w:tcPr>
            <w:tcW w:w="798" w:type="pct"/>
            <w:tcBorders>
              <w:top w:val="single" w:color="auto" w:sz="4" w:space="0"/>
              <w:left w:val="nil"/>
              <w:bottom w:val="single" w:color="auto" w:sz="8" w:space="0"/>
              <w:right w:val="single" w:color="auto" w:sz="8" w:space="0"/>
            </w:tcBorders>
            <w:shd w:val="clear" w:color="auto" w:fill="auto"/>
            <w:vAlign w:val="center"/>
          </w:tcPr>
          <w:p w14:paraId="13FFED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技术参数响应程度（15分）</w:t>
            </w:r>
          </w:p>
        </w:tc>
        <w:tc>
          <w:tcPr>
            <w:tcW w:w="3055" w:type="pct"/>
            <w:tcBorders>
              <w:top w:val="single" w:color="auto" w:sz="4" w:space="0"/>
              <w:left w:val="nil"/>
              <w:bottom w:val="single" w:color="auto" w:sz="8" w:space="0"/>
              <w:right w:val="single" w:color="auto" w:sz="8" w:space="0"/>
            </w:tcBorders>
            <w:shd w:val="clear" w:color="auto" w:fill="auto"/>
            <w:vAlign w:val="center"/>
          </w:tcPr>
          <w:p w14:paraId="16BF4EB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技术参数全部满足招标文件“第五章 采购内容及技术要求”要求的得15分，每有1项不满足扣3分,扣完为止。</w:t>
            </w:r>
          </w:p>
        </w:tc>
      </w:tr>
      <w:tr w14:paraId="7C8F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482" w:type="pct"/>
            <w:vMerge w:val="continue"/>
            <w:tcBorders>
              <w:top w:val="nil"/>
              <w:left w:val="single" w:color="auto" w:sz="8" w:space="0"/>
              <w:bottom w:val="single" w:color="000000" w:sz="8" w:space="0"/>
              <w:right w:val="single" w:color="auto" w:sz="8" w:space="0"/>
            </w:tcBorders>
            <w:shd w:val="clear" w:color="auto" w:fill="auto"/>
            <w:vAlign w:val="center"/>
          </w:tcPr>
          <w:p w14:paraId="2838D3CA">
            <w:pPr>
              <w:jc w:val="center"/>
              <w:rPr>
                <w:rFonts w:hint="eastAsia" w:ascii="宋体" w:hAnsi="宋体" w:eastAsia="宋体" w:cs="宋体"/>
                <w:i w:val="0"/>
                <w:iCs w:val="0"/>
                <w:color w:val="000000"/>
                <w:sz w:val="24"/>
                <w:szCs w:val="24"/>
                <w:highlight w:val="none"/>
                <w:u w:val="none"/>
              </w:rPr>
            </w:pPr>
          </w:p>
        </w:tc>
        <w:tc>
          <w:tcPr>
            <w:tcW w:w="663" w:type="pct"/>
            <w:vMerge w:val="continue"/>
            <w:tcBorders>
              <w:top w:val="nil"/>
              <w:left w:val="single" w:color="auto" w:sz="8" w:space="0"/>
              <w:bottom w:val="single" w:color="000000" w:sz="8" w:space="0"/>
              <w:right w:val="single" w:color="auto" w:sz="8" w:space="0"/>
            </w:tcBorders>
            <w:shd w:val="clear" w:color="auto" w:fill="auto"/>
            <w:vAlign w:val="center"/>
          </w:tcPr>
          <w:p w14:paraId="2701D6F2">
            <w:pPr>
              <w:jc w:val="center"/>
              <w:rPr>
                <w:rFonts w:hint="eastAsia" w:ascii="宋体" w:hAnsi="宋体" w:eastAsia="宋体" w:cs="宋体"/>
                <w:i w:val="0"/>
                <w:iCs w:val="0"/>
                <w:color w:val="000000"/>
                <w:sz w:val="24"/>
                <w:szCs w:val="24"/>
                <w:highlight w:val="none"/>
                <w:u w:val="none"/>
              </w:rPr>
            </w:pPr>
          </w:p>
        </w:tc>
        <w:tc>
          <w:tcPr>
            <w:tcW w:w="798" w:type="pct"/>
            <w:tcBorders>
              <w:top w:val="nil"/>
              <w:left w:val="nil"/>
              <w:bottom w:val="single" w:color="auto" w:sz="8" w:space="0"/>
              <w:right w:val="single" w:color="auto" w:sz="8" w:space="0"/>
            </w:tcBorders>
            <w:shd w:val="clear" w:color="auto" w:fill="auto"/>
            <w:vAlign w:val="center"/>
          </w:tcPr>
          <w:p w14:paraId="3DBEC694">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Style w:val="38"/>
                <w:highlight w:val="none"/>
                <w:lang w:val="en-US" w:eastAsia="zh-CN" w:bidi="ar"/>
              </w:rPr>
              <w:t>重难点问题分析与解决方案（</w:t>
            </w:r>
            <w:r>
              <w:rPr>
                <w:rStyle w:val="39"/>
                <w:rFonts w:eastAsia="宋体"/>
                <w:highlight w:val="none"/>
                <w:lang w:val="en-US" w:eastAsia="zh-CN" w:bidi="ar"/>
              </w:rPr>
              <w:t>10</w:t>
            </w:r>
            <w:r>
              <w:rPr>
                <w:rStyle w:val="38"/>
                <w:highlight w:val="none"/>
                <w:lang w:val="en-US" w:eastAsia="zh-CN" w:bidi="ar"/>
              </w:rPr>
              <w:t>分）</w:t>
            </w:r>
          </w:p>
        </w:tc>
        <w:tc>
          <w:tcPr>
            <w:tcW w:w="3055" w:type="pct"/>
            <w:tcBorders>
              <w:top w:val="nil"/>
              <w:left w:val="nil"/>
              <w:bottom w:val="single" w:color="auto" w:sz="8" w:space="0"/>
              <w:right w:val="single" w:color="auto" w:sz="8" w:space="0"/>
            </w:tcBorders>
            <w:shd w:val="clear" w:color="auto" w:fill="auto"/>
            <w:vAlign w:val="center"/>
          </w:tcPr>
          <w:p w14:paraId="374BAA94">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Style w:val="38"/>
                <w:highlight w:val="none"/>
                <w:lang w:val="en-US" w:eastAsia="zh-CN" w:bidi="ar"/>
              </w:rPr>
              <w:t>供应商需提供重难点问题分析与解决方案：</w:t>
            </w:r>
            <w:r>
              <w:rPr>
                <w:rStyle w:val="38"/>
                <w:highlight w:val="none"/>
                <w:lang w:val="en-US" w:eastAsia="zh-CN" w:bidi="ar"/>
              </w:rPr>
              <w:br w:type="textWrapping"/>
            </w:r>
            <w:r>
              <w:rPr>
                <w:rStyle w:val="38"/>
                <w:highlight w:val="none"/>
                <w:lang w:val="en-US" w:eastAsia="zh-CN" w:bidi="ar"/>
              </w:rPr>
              <w:t>对项目重点、难点认识深刻、表述全面准确，解决方案科学、系统，可操作性强得</w:t>
            </w:r>
            <w:r>
              <w:rPr>
                <w:rStyle w:val="39"/>
                <w:rFonts w:eastAsia="宋体"/>
                <w:highlight w:val="none"/>
                <w:lang w:val="en-US" w:eastAsia="zh-CN" w:bidi="ar"/>
              </w:rPr>
              <w:t>10</w:t>
            </w:r>
            <w:r>
              <w:rPr>
                <w:rStyle w:val="38"/>
                <w:highlight w:val="none"/>
                <w:lang w:val="en-US" w:eastAsia="zh-CN" w:bidi="ar"/>
              </w:rPr>
              <w:t>分；</w:t>
            </w:r>
            <w:r>
              <w:rPr>
                <w:rStyle w:val="38"/>
                <w:highlight w:val="none"/>
                <w:lang w:val="en-US" w:eastAsia="zh-CN" w:bidi="ar"/>
              </w:rPr>
              <w:br w:type="textWrapping"/>
            </w:r>
            <w:r>
              <w:rPr>
                <w:rStyle w:val="38"/>
                <w:highlight w:val="none"/>
                <w:lang w:val="en-US" w:eastAsia="zh-CN" w:bidi="ar"/>
              </w:rPr>
              <w:t>对项目重点难点认识基本深刻、表述基本全面准确，解决方案基本</w:t>
            </w:r>
            <w:r>
              <w:rPr>
                <w:rStyle w:val="39"/>
                <w:rFonts w:eastAsia="宋体"/>
                <w:highlight w:val="none"/>
                <w:lang w:val="en-US" w:eastAsia="zh-CN" w:bidi="ar"/>
              </w:rPr>
              <w:t xml:space="preserve"> </w:t>
            </w:r>
            <w:r>
              <w:rPr>
                <w:rStyle w:val="38"/>
                <w:highlight w:val="none"/>
                <w:lang w:val="en-US" w:eastAsia="zh-CN" w:bidi="ar"/>
              </w:rPr>
              <w:t>科学、系统，具有可操作性得</w:t>
            </w:r>
            <w:r>
              <w:rPr>
                <w:rStyle w:val="39"/>
                <w:rFonts w:eastAsia="宋体"/>
                <w:highlight w:val="none"/>
                <w:lang w:val="en-US" w:eastAsia="zh-CN" w:bidi="ar"/>
              </w:rPr>
              <w:t>6</w:t>
            </w:r>
            <w:r>
              <w:rPr>
                <w:rStyle w:val="38"/>
                <w:highlight w:val="none"/>
                <w:lang w:val="en-US" w:eastAsia="zh-CN" w:bidi="ar"/>
              </w:rPr>
              <w:t>分；</w:t>
            </w:r>
            <w:r>
              <w:rPr>
                <w:rStyle w:val="39"/>
                <w:rFonts w:eastAsia="宋体"/>
                <w:highlight w:val="none"/>
                <w:lang w:val="en-US" w:eastAsia="zh-CN" w:bidi="ar"/>
              </w:rPr>
              <w:t xml:space="preserve"> </w:t>
            </w:r>
            <w:r>
              <w:rPr>
                <w:rStyle w:val="39"/>
                <w:rFonts w:eastAsia="宋体"/>
                <w:highlight w:val="none"/>
                <w:lang w:val="en-US" w:eastAsia="zh-CN" w:bidi="ar"/>
              </w:rPr>
              <w:br w:type="textWrapping"/>
            </w:r>
            <w:r>
              <w:rPr>
                <w:rStyle w:val="38"/>
                <w:highlight w:val="none"/>
                <w:lang w:val="en-US" w:eastAsia="zh-CN" w:bidi="ar"/>
              </w:rPr>
              <w:t>对项目重点、难点认识不深刻、表述不全面不准确，或解决方案不科学、不系统，或可操作性不</w:t>
            </w:r>
            <w:r>
              <w:rPr>
                <w:rStyle w:val="39"/>
                <w:rFonts w:eastAsia="宋体"/>
                <w:highlight w:val="none"/>
                <w:lang w:val="en-US" w:eastAsia="zh-CN" w:bidi="ar"/>
              </w:rPr>
              <w:t xml:space="preserve"> </w:t>
            </w:r>
            <w:r>
              <w:rPr>
                <w:rStyle w:val="38"/>
                <w:highlight w:val="none"/>
                <w:lang w:val="en-US" w:eastAsia="zh-CN" w:bidi="ar"/>
              </w:rPr>
              <w:t>强得</w:t>
            </w:r>
            <w:r>
              <w:rPr>
                <w:rStyle w:val="39"/>
                <w:rFonts w:eastAsia="宋体"/>
                <w:highlight w:val="none"/>
                <w:lang w:val="en-US" w:eastAsia="zh-CN" w:bidi="ar"/>
              </w:rPr>
              <w:t>2</w:t>
            </w:r>
            <w:r>
              <w:rPr>
                <w:rStyle w:val="38"/>
                <w:highlight w:val="none"/>
                <w:lang w:val="en-US" w:eastAsia="zh-CN" w:bidi="ar"/>
              </w:rPr>
              <w:t>分；</w:t>
            </w:r>
            <w:r>
              <w:rPr>
                <w:rStyle w:val="38"/>
                <w:highlight w:val="none"/>
                <w:lang w:val="en-US" w:eastAsia="zh-CN" w:bidi="ar"/>
              </w:rPr>
              <w:br w:type="textWrapping"/>
            </w:r>
            <w:r>
              <w:rPr>
                <w:rStyle w:val="38"/>
                <w:highlight w:val="none"/>
                <w:lang w:val="en-US" w:eastAsia="zh-CN" w:bidi="ar"/>
              </w:rPr>
              <w:t>不提供不得分。</w:t>
            </w:r>
          </w:p>
        </w:tc>
      </w:tr>
      <w:tr w14:paraId="5CDC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atLeast"/>
        </w:trPr>
        <w:tc>
          <w:tcPr>
            <w:tcW w:w="482" w:type="pct"/>
            <w:vMerge w:val="continue"/>
            <w:tcBorders>
              <w:top w:val="nil"/>
              <w:left w:val="single" w:color="auto" w:sz="8" w:space="0"/>
              <w:bottom w:val="single" w:color="000000" w:sz="8" w:space="0"/>
              <w:right w:val="single" w:color="auto" w:sz="8" w:space="0"/>
            </w:tcBorders>
            <w:shd w:val="clear" w:color="auto" w:fill="auto"/>
            <w:vAlign w:val="center"/>
          </w:tcPr>
          <w:p w14:paraId="35583589">
            <w:pPr>
              <w:jc w:val="center"/>
              <w:rPr>
                <w:rFonts w:hint="eastAsia" w:ascii="宋体" w:hAnsi="宋体" w:eastAsia="宋体" w:cs="宋体"/>
                <w:i w:val="0"/>
                <w:iCs w:val="0"/>
                <w:color w:val="000000"/>
                <w:sz w:val="24"/>
                <w:szCs w:val="24"/>
                <w:highlight w:val="none"/>
                <w:u w:val="none"/>
              </w:rPr>
            </w:pPr>
          </w:p>
        </w:tc>
        <w:tc>
          <w:tcPr>
            <w:tcW w:w="663" w:type="pct"/>
            <w:vMerge w:val="continue"/>
            <w:tcBorders>
              <w:top w:val="nil"/>
              <w:left w:val="single" w:color="auto" w:sz="8" w:space="0"/>
              <w:bottom w:val="single" w:color="000000" w:sz="8" w:space="0"/>
              <w:right w:val="single" w:color="auto" w:sz="8" w:space="0"/>
            </w:tcBorders>
            <w:shd w:val="clear" w:color="auto" w:fill="auto"/>
            <w:vAlign w:val="center"/>
          </w:tcPr>
          <w:p w14:paraId="738C0A80">
            <w:pPr>
              <w:jc w:val="center"/>
              <w:rPr>
                <w:rFonts w:hint="eastAsia" w:ascii="宋体" w:hAnsi="宋体" w:eastAsia="宋体" w:cs="宋体"/>
                <w:i w:val="0"/>
                <w:iCs w:val="0"/>
                <w:color w:val="000000"/>
                <w:sz w:val="24"/>
                <w:szCs w:val="24"/>
                <w:highlight w:val="none"/>
                <w:u w:val="none"/>
              </w:rPr>
            </w:pPr>
          </w:p>
        </w:tc>
        <w:tc>
          <w:tcPr>
            <w:tcW w:w="798" w:type="pct"/>
            <w:tcBorders>
              <w:top w:val="nil"/>
              <w:left w:val="nil"/>
              <w:bottom w:val="single" w:color="auto" w:sz="8" w:space="0"/>
              <w:right w:val="single" w:color="auto" w:sz="8" w:space="0"/>
            </w:tcBorders>
            <w:shd w:val="clear" w:color="auto" w:fill="auto"/>
            <w:vAlign w:val="center"/>
          </w:tcPr>
          <w:p w14:paraId="5616B8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项目实施方案（10分）</w:t>
            </w:r>
          </w:p>
        </w:tc>
        <w:tc>
          <w:tcPr>
            <w:tcW w:w="3055" w:type="pct"/>
            <w:tcBorders>
              <w:top w:val="nil"/>
              <w:left w:val="nil"/>
              <w:bottom w:val="single" w:color="auto" w:sz="8" w:space="0"/>
              <w:right w:val="single" w:color="auto" w:sz="8" w:space="0"/>
            </w:tcBorders>
            <w:shd w:val="clear" w:color="auto" w:fill="auto"/>
            <w:vAlign w:val="center"/>
          </w:tcPr>
          <w:p w14:paraId="40913C90">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Style w:val="38"/>
                <w:highlight w:val="none"/>
                <w:lang w:val="en-US" w:eastAsia="zh-CN" w:bidi="ar"/>
              </w:rPr>
              <w:t>供应商结合自身综合实力情况与本项目实际需求提供项目实施方案：</w:t>
            </w:r>
            <w:r>
              <w:rPr>
                <w:rStyle w:val="38"/>
                <w:highlight w:val="none"/>
                <w:lang w:val="en-US" w:eastAsia="zh-CN" w:bidi="ar"/>
              </w:rPr>
              <w:br w:type="textWrapping"/>
            </w:r>
            <w:r>
              <w:rPr>
                <w:rStyle w:val="38"/>
                <w:highlight w:val="none"/>
                <w:lang w:val="en-US" w:eastAsia="zh-CN" w:bidi="ar"/>
              </w:rPr>
              <w:t>总体思路较清晰、方案较全面，可行性较强的，得</w:t>
            </w:r>
            <w:r>
              <w:rPr>
                <w:rStyle w:val="39"/>
                <w:rFonts w:eastAsia="宋体"/>
                <w:highlight w:val="none"/>
                <w:lang w:val="en-US" w:eastAsia="zh-CN" w:bidi="ar"/>
              </w:rPr>
              <w:t>10</w:t>
            </w:r>
            <w:r>
              <w:rPr>
                <w:rStyle w:val="38"/>
                <w:highlight w:val="none"/>
                <w:lang w:val="en-US" w:eastAsia="zh-CN" w:bidi="ar"/>
              </w:rPr>
              <w:t>分；</w:t>
            </w:r>
            <w:r>
              <w:rPr>
                <w:rStyle w:val="38"/>
                <w:highlight w:val="none"/>
                <w:lang w:val="en-US" w:eastAsia="zh-CN" w:bidi="ar"/>
              </w:rPr>
              <w:br w:type="textWrapping"/>
            </w:r>
            <w:r>
              <w:rPr>
                <w:rStyle w:val="38"/>
                <w:highlight w:val="none"/>
                <w:lang w:val="en-US" w:eastAsia="zh-CN" w:bidi="ar"/>
              </w:rPr>
              <w:t>相应思路、方案，可行性一般的，得</w:t>
            </w:r>
            <w:r>
              <w:rPr>
                <w:rStyle w:val="39"/>
                <w:rFonts w:eastAsia="宋体"/>
                <w:highlight w:val="none"/>
                <w:lang w:val="en-US" w:eastAsia="zh-CN" w:bidi="ar"/>
              </w:rPr>
              <w:t>6</w:t>
            </w:r>
            <w:r>
              <w:rPr>
                <w:rStyle w:val="38"/>
                <w:highlight w:val="none"/>
                <w:lang w:val="en-US" w:eastAsia="zh-CN" w:bidi="ar"/>
              </w:rPr>
              <w:t>分；</w:t>
            </w:r>
            <w:r>
              <w:rPr>
                <w:rStyle w:val="38"/>
                <w:highlight w:val="none"/>
                <w:lang w:val="en-US" w:eastAsia="zh-CN" w:bidi="ar"/>
              </w:rPr>
              <w:br w:type="textWrapping"/>
            </w:r>
            <w:r>
              <w:rPr>
                <w:rStyle w:val="38"/>
                <w:highlight w:val="none"/>
                <w:lang w:val="en-US" w:eastAsia="zh-CN" w:bidi="ar"/>
              </w:rPr>
              <w:t>仅能提供基本思路、方案、可行性较差的，得</w:t>
            </w:r>
            <w:r>
              <w:rPr>
                <w:rStyle w:val="39"/>
                <w:rFonts w:eastAsia="宋体"/>
                <w:highlight w:val="none"/>
                <w:lang w:val="en-US" w:eastAsia="zh-CN" w:bidi="ar"/>
              </w:rPr>
              <w:t>2</w:t>
            </w:r>
            <w:r>
              <w:rPr>
                <w:rStyle w:val="38"/>
                <w:highlight w:val="none"/>
                <w:lang w:val="en-US" w:eastAsia="zh-CN" w:bidi="ar"/>
              </w:rPr>
              <w:t>分；</w:t>
            </w:r>
            <w:r>
              <w:rPr>
                <w:rStyle w:val="38"/>
                <w:highlight w:val="none"/>
                <w:lang w:val="en-US" w:eastAsia="zh-CN" w:bidi="ar"/>
              </w:rPr>
              <w:br w:type="textWrapping"/>
            </w:r>
            <w:r>
              <w:rPr>
                <w:rStyle w:val="38"/>
                <w:highlight w:val="none"/>
                <w:lang w:val="en-US" w:eastAsia="zh-CN" w:bidi="ar"/>
              </w:rPr>
              <w:t>不提供不得分。</w:t>
            </w:r>
          </w:p>
        </w:tc>
      </w:tr>
      <w:tr w14:paraId="36A7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482" w:type="pct"/>
            <w:vMerge w:val="continue"/>
            <w:tcBorders>
              <w:top w:val="nil"/>
              <w:left w:val="single" w:color="auto" w:sz="8" w:space="0"/>
              <w:bottom w:val="single" w:color="000000" w:sz="8" w:space="0"/>
              <w:right w:val="single" w:color="auto" w:sz="8" w:space="0"/>
            </w:tcBorders>
            <w:shd w:val="clear" w:color="auto" w:fill="auto"/>
            <w:vAlign w:val="center"/>
          </w:tcPr>
          <w:p w14:paraId="66FEFA9D">
            <w:pPr>
              <w:jc w:val="center"/>
              <w:rPr>
                <w:rFonts w:hint="eastAsia" w:ascii="宋体" w:hAnsi="宋体" w:eastAsia="宋体" w:cs="宋体"/>
                <w:i w:val="0"/>
                <w:iCs w:val="0"/>
                <w:color w:val="000000"/>
                <w:sz w:val="24"/>
                <w:szCs w:val="24"/>
                <w:highlight w:val="none"/>
                <w:u w:val="none"/>
              </w:rPr>
            </w:pPr>
          </w:p>
        </w:tc>
        <w:tc>
          <w:tcPr>
            <w:tcW w:w="663" w:type="pct"/>
            <w:vMerge w:val="continue"/>
            <w:tcBorders>
              <w:top w:val="nil"/>
              <w:left w:val="single" w:color="auto" w:sz="8" w:space="0"/>
              <w:bottom w:val="single" w:color="000000" w:sz="8" w:space="0"/>
              <w:right w:val="single" w:color="auto" w:sz="8" w:space="0"/>
            </w:tcBorders>
            <w:shd w:val="clear" w:color="auto" w:fill="auto"/>
            <w:vAlign w:val="center"/>
          </w:tcPr>
          <w:p w14:paraId="0039D446">
            <w:pPr>
              <w:jc w:val="center"/>
              <w:rPr>
                <w:rFonts w:hint="eastAsia" w:ascii="宋体" w:hAnsi="宋体" w:eastAsia="宋体" w:cs="宋体"/>
                <w:i w:val="0"/>
                <w:iCs w:val="0"/>
                <w:color w:val="000000"/>
                <w:sz w:val="24"/>
                <w:szCs w:val="24"/>
                <w:highlight w:val="none"/>
                <w:u w:val="none"/>
              </w:rPr>
            </w:pPr>
          </w:p>
        </w:tc>
        <w:tc>
          <w:tcPr>
            <w:tcW w:w="798" w:type="pct"/>
            <w:tcBorders>
              <w:top w:val="nil"/>
              <w:left w:val="nil"/>
              <w:bottom w:val="single" w:color="auto" w:sz="8" w:space="0"/>
              <w:right w:val="single" w:color="auto" w:sz="8" w:space="0"/>
            </w:tcBorders>
            <w:shd w:val="clear" w:color="auto" w:fill="auto"/>
            <w:vAlign w:val="center"/>
          </w:tcPr>
          <w:p w14:paraId="1D5A5B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无缝对接方案（10分）</w:t>
            </w:r>
          </w:p>
        </w:tc>
        <w:tc>
          <w:tcPr>
            <w:tcW w:w="3055" w:type="pct"/>
            <w:tcBorders>
              <w:top w:val="nil"/>
              <w:left w:val="nil"/>
              <w:bottom w:val="single" w:color="auto" w:sz="8" w:space="0"/>
              <w:right w:val="single" w:color="auto" w:sz="8" w:space="0"/>
            </w:tcBorders>
            <w:shd w:val="clear" w:color="auto" w:fill="auto"/>
            <w:vAlign w:val="center"/>
          </w:tcPr>
          <w:p w14:paraId="7FDF5574">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Style w:val="38"/>
                <w:highlight w:val="none"/>
                <w:lang w:val="en-US" w:eastAsia="zh-CN" w:bidi="ar"/>
              </w:rPr>
              <w:t>供应商针对本项目系统无缝对接提出合理、具体、可行的工作计划和保障措施。</w:t>
            </w:r>
            <w:r>
              <w:rPr>
                <w:rStyle w:val="38"/>
                <w:highlight w:val="none"/>
                <w:lang w:val="en-US" w:eastAsia="zh-CN" w:bidi="ar"/>
              </w:rPr>
              <w:br w:type="textWrapping"/>
            </w:r>
            <w:r>
              <w:rPr>
                <w:rStyle w:val="38"/>
                <w:highlight w:val="none"/>
                <w:lang w:val="en-US" w:eastAsia="zh-CN" w:bidi="ar"/>
              </w:rPr>
              <w:t xml:space="preserve">计划和措施内容完整全面，条理清晰，计划科学可行得 </w:t>
            </w:r>
            <w:r>
              <w:rPr>
                <w:rStyle w:val="39"/>
                <w:rFonts w:eastAsia="宋体"/>
                <w:highlight w:val="none"/>
                <w:lang w:val="en-US" w:eastAsia="zh-CN" w:bidi="ar"/>
              </w:rPr>
              <w:t xml:space="preserve">10 </w:t>
            </w:r>
            <w:r>
              <w:rPr>
                <w:rStyle w:val="38"/>
                <w:highlight w:val="none"/>
                <w:lang w:val="en-US" w:eastAsia="zh-CN" w:bidi="ar"/>
              </w:rPr>
              <w:t>分；</w:t>
            </w:r>
            <w:r>
              <w:rPr>
                <w:rStyle w:val="38"/>
                <w:highlight w:val="none"/>
                <w:lang w:val="en-US" w:eastAsia="zh-CN" w:bidi="ar"/>
              </w:rPr>
              <w:br w:type="textWrapping"/>
            </w:r>
            <w:r>
              <w:rPr>
                <w:rStyle w:val="38"/>
                <w:highlight w:val="none"/>
                <w:lang w:val="en-US" w:eastAsia="zh-CN" w:bidi="ar"/>
              </w:rPr>
              <w:t>计划和措施内容较为完整全面，条理较为清晰，计划较为科学可行得</w:t>
            </w:r>
            <w:r>
              <w:rPr>
                <w:rStyle w:val="39"/>
                <w:rFonts w:eastAsia="宋体"/>
                <w:highlight w:val="none"/>
                <w:lang w:val="en-US" w:eastAsia="zh-CN" w:bidi="ar"/>
              </w:rPr>
              <w:t>6</w:t>
            </w:r>
            <w:r>
              <w:rPr>
                <w:rStyle w:val="38"/>
                <w:highlight w:val="none"/>
                <w:lang w:val="en-US" w:eastAsia="zh-CN" w:bidi="ar"/>
              </w:rPr>
              <w:t>分；</w:t>
            </w:r>
            <w:r>
              <w:rPr>
                <w:rStyle w:val="38"/>
                <w:highlight w:val="none"/>
                <w:lang w:val="en-US" w:eastAsia="zh-CN" w:bidi="ar"/>
              </w:rPr>
              <w:br w:type="textWrapping"/>
            </w:r>
            <w:r>
              <w:rPr>
                <w:rStyle w:val="38"/>
                <w:highlight w:val="none"/>
                <w:lang w:val="en-US" w:eastAsia="zh-CN" w:bidi="ar"/>
              </w:rPr>
              <w:t>计划和措施内容一般，条理不清晰，计划内容一般得</w:t>
            </w:r>
            <w:r>
              <w:rPr>
                <w:rStyle w:val="39"/>
                <w:rFonts w:eastAsia="宋体"/>
                <w:highlight w:val="none"/>
                <w:lang w:val="en-US" w:eastAsia="zh-CN" w:bidi="ar"/>
              </w:rPr>
              <w:t>2</w:t>
            </w:r>
            <w:r>
              <w:rPr>
                <w:rStyle w:val="38"/>
                <w:highlight w:val="none"/>
                <w:lang w:val="en-US" w:eastAsia="zh-CN" w:bidi="ar"/>
              </w:rPr>
              <w:t>分；</w:t>
            </w:r>
            <w:r>
              <w:rPr>
                <w:rStyle w:val="38"/>
                <w:highlight w:val="none"/>
                <w:lang w:val="en-US" w:eastAsia="zh-CN" w:bidi="ar"/>
              </w:rPr>
              <w:br w:type="textWrapping"/>
            </w:r>
            <w:r>
              <w:rPr>
                <w:rStyle w:val="38"/>
                <w:highlight w:val="none"/>
                <w:lang w:val="en-US" w:eastAsia="zh-CN" w:bidi="ar"/>
              </w:rPr>
              <w:t>未针对本项目描述或没有提供的得</w:t>
            </w:r>
            <w:r>
              <w:rPr>
                <w:rStyle w:val="39"/>
                <w:rFonts w:eastAsia="宋体"/>
                <w:highlight w:val="none"/>
                <w:lang w:val="en-US" w:eastAsia="zh-CN" w:bidi="ar"/>
              </w:rPr>
              <w:t>0</w:t>
            </w:r>
            <w:r>
              <w:rPr>
                <w:rStyle w:val="38"/>
                <w:highlight w:val="none"/>
                <w:lang w:val="en-US" w:eastAsia="zh-CN" w:bidi="ar"/>
              </w:rPr>
              <w:t>分。</w:t>
            </w:r>
          </w:p>
        </w:tc>
      </w:tr>
      <w:tr w14:paraId="5CD4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482" w:type="pct"/>
            <w:vMerge w:val="continue"/>
            <w:tcBorders>
              <w:top w:val="nil"/>
              <w:left w:val="single" w:color="auto" w:sz="8" w:space="0"/>
              <w:bottom w:val="single" w:color="000000" w:sz="8" w:space="0"/>
              <w:right w:val="single" w:color="auto" w:sz="8" w:space="0"/>
            </w:tcBorders>
            <w:shd w:val="clear" w:color="auto" w:fill="auto"/>
            <w:vAlign w:val="center"/>
          </w:tcPr>
          <w:p w14:paraId="2AACDC5B">
            <w:pPr>
              <w:jc w:val="center"/>
              <w:rPr>
                <w:rFonts w:hint="eastAsia" w:ascii="宋体" w:hAnsi="宋体" w:eastAsia="宋体" w:cs="宋体"/>
                <w:i w:val="0"/>
                <w:iCs w:val="0"/>
                <w:color w:val="000000"/>
                <w:sz w:val="24"/>
                <w:szCs w:val="24"/>
                <w:highlight w:val="none"/>
                <w:u w:val="none"/>
              </w:rPr>
            </w:pPr>
          </w:p>
        </w:tc>
        <w:tc>
          <w:tcPr>
            <w:tcW w:w="663" w:type="pct"/>
            <w:vMerge w:val="continue"/>
            <w:tcBorders>
              <w:top w:val="nil"/>
              <w:left w:val="single" w:color="auto" w:sz="8" w:space="0"/>
              <w:bottom w:val="single" w:color="000000" w:sz="8" w:space="0"/>
              <w:right w:val="single" w:color="auto" w:sz="8" w:space="0"/>
            </w:tcBorders>
            <w:shd w:val="clear" w:color="auto" w:fill="auto"/>
            <w:vAlign w:val="center"/>
          </w:tcPr>
          <w:p w14:paraId="260368BB">
            <w:pPr>
              <w:jc w:val="center"/>
              <w:rPr>
                <w:rFonts w:hint="eastAsia" w:ascii="宋体" w:hAnsi="宋体" w:eastAsia="宋体" w:cs="宋体"/>
                <w:i w:val="0"/>
                <w:iCs w:val="0"/>
                <w:color w:val="000000"/>
                <w:sz w:val="24"/>
                <w:szCs w:val="24"/>
                <w:highlight w:val="none"/>
                <w:u w:val="none"/>
              </w:rPr>
            </w:pPr>
          </w:p>
        </w:tc>
        <w:tc>
          <w:tcPr>
            <w:tcW w:w="798" w:type="pct"/>
            <w:vMerge w:val="restart"/>
            <w:tcBorders>
              <w:top w:val="nil"/>
              <w:left w:val="single" w:color="auto" w:sz="8" w:space="0"/>
              <w:bottom w:val="single" w:color="auto" w:sz="8" w:space="0"/>
              <w:right w:val="single" w:color="auto" w:sz="8" w:space="0"/>
            </w:tcBorders>
            <w:shd w:val="clear" w:color="auto" w:fill="auto"/>
            <w:vAlign w:val="center"/>
          </w:tcPr>
          <w:p w14:paraId="30F19F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运维团队配置（10分）</w:t>
            </w:r>
          </w:p>
        </w:tc>
        <w:tc>
          <w:tcPr>
            <w:tcW w:w="3055" w:type="pct"/>
            <w:tcBorders>
              <w:top w:val="nil"/>
              <w:left w:val="nil"/>
              <w:bottom w:val="single" w:color="auto" w:sz="8" w:space="0"/>
              <w:right w:val="single" w:color="auto" w:sz="8" w:space="0"/>
            </w:tcBorders>
            <w:shd w:val="clear" w:color="auto" w:fill="auto"/>
            <w:vAlign w:val="center"/>
          </w:tcPr>
          <w:p w14:paraId="001AB07B">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r>
              <w:rPr>
                <w:rStyle w:val="38"/>
                <w:highlight w:val="none"/>
                <w:lang w:val="en-US" w:eastAsia="zh-CN" w:bidi="ar"/>
              </w:rPr>
              <w:t>、评标委员会根据各响应文件提供的针对本项目配置的运维维护团队配置的合理性、可行性进行评定。</w:t>
            </w:r>
            <w:r>
              <w:rPr>
                <w:rStyle w:val="38"/>
                <w:highlight w:val="none"/>
                <w:lang w:val="en-US" w:eastAsia="zh-CN" w:bidi="ar"/>
              </w:rPr>
              <w:br w:type="textWrapping"/>
            </w:r>
            <w:r>
              <w:rPr>
                <w:rStyle w:val="38"/>
                <w:highlight w:val="none"/>
                <w:lang w:val="en-US" w:eastAsia="zh-CN" w:bidi="ar"/>
              </w:rPr>
              <w:t>完全合理、可行的得</w:t>
            </w:r>
            <w:r>
              <w:rPr>
                <w:rStyle w:val="39"/>
                <w:rFonts w:eastAsia="宋体"/>
                <w:highlight w:val="none"/>
                <w:lang w:val="en-US" w:eastAsia="zh-CN" w:bidi="ar"/>
              </w:rPr>
              <w:t>5</w:t>
            </w:r>
            <w:r>
              <w:rPr>
                <w:rStyle w:val="38"/>
                <w:highlight w:val="none"/>
                <w:lang w:val="en-US" w:eastAsia="zh-CN" w:bidi="ar"/>
              </w:rPr>
              <w:t>分；</w:t>
            </w:r>
            <w:r>
              <w:rPr>
                <w:rStyle w:val="38"/>
                <w:highlight w:val="none"/>
                <w:lang w:val="en-US" w:eastAsia="zh-CN" w:bidi="ar"/>
              </w:rPr>
              <w:br w:type="textWrapping"/>
            </w:r>
            <w:r>
              <w:rPr>
                <w:rStyle w:val="38"/>
                <w:highlight w:val="none"/>
                <w:lang w:val="en-US" w:eastAsia="zh-CN" w:bidi="ar"/>
              </w:rPr>
              <w:t>基本合理、可行的得</w:t>
            </w:r>
            <w:r>
              <w:rPr>
                <w:rStyle w:val="39"/>
                <w:rFonts w:eastAsia="宋体"/>
                <w:highlight w:val="none"/>
                <w:lang w:val="en-US" w:eastAsia="zh-CN" w:bidi="ar"/>
              </w:rPr>
              <w:t>3</w:t>
            </w:r>
            <w:r>
              <w:rPr>
                <w:rStyle w:val="38"/>
                <w:highlight w:val="none"/>
                <w:lang w:val="en-US" w:eastAsia="zh-CN" w:bidi="ar"/>
              </w:rPr>
              <w:t>分；</w:t>
            </w:r>
            <w:r>
              <w:rPr>
                <w:rStyle w:val="38"/>
                <w:highlight w:val="none"/>
                <w:lang w:val="en-US" w:eastAsia="zh-CN" w:bidi="ar"/>
              </w:rPr>
              <w:br w:type="textWrapping"/>
            </w:r>
            <w:r>
              <w:rPr>
                <w:rStyle w:val="38"/>
                <w:highlight w:val="none"/>
                <w:lang w:val="en-US" w:eastAsia="zh-CN" w:bidi="ar"/>
              </w:rPr>
              <w:t>可行性差的得</w:t>
            </w:r>
            <w:r>
              <w:rPr>
                <w:rStyle w:val="39"/>
                <w:rFonts w:eastAsia="宋体"/>
                <w:highlight w:val="none"/>
                <w:lang w:val="en-US" w:eastAsia="zh-CN" w:bidi="ar"/>
              </w:rPr>
              <w:t>1</w:t>
            </w:r>
            <w:r>
              <w:rPr>
                <w:rStyle w:val="38"/>
                <w:highlight w:val="none"/>
                <w:lang w:val="en-US" w:eastAsia="zh-CN" w:bidi="ar"/>
              </w:rPr>
              <w:t>分；缺项不得分。</w:t>
            </w:r>
          </w:p>
        </w:tc>
      </w:tr>
      <w:tr w14:paraId="0FC0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482" w:type="pct"/>
            <w:vMerge w:val="continue"/>
            <w:tcBorders>
              <w:top w:val="nil"/>
              <w:left w:val="single" w:color="auto" w:sz="8" w:space="0"/>
              <w:bottom w:val="single" w:color="000000" w:sz="8" w:space="0"/>
              <w:right w:val="single" w:color="auto" w:sz="8" w:space="0"/>
            </w:tcBorders>
            <w:shd w:val="clear" w:color="auto" w:fill="auto"/>
            <w:vAlign w:val="center"/>
          </w:tcPr>
          <w:p w14:paraId="0F0CE9FE">
            <w:pPr>
              <w:jc w:val="center"/>
              <w:rPr>
                <w:rFonts w:hint="eastAsia" w:ascii="宋体" w:hAnsi="宋体" w:eastAsia="宋体" w:cs="宋体"/>
                <w:i w:val="0"/>
                <w:iCs w:val="0"/>
                <w:color w:val="000000"/>
                <w:sz w:val="24"/>
                <w:szCs w:val="24"/>
                <w:highlight w:val="none"/>
                <w:u w:val="none"/>
              </w:rPr>
            </w:pPr>
          </w:p>
        </w:tc>
        <w:tc>
          <w:tcPr>
            <w:tcW w:w="663" w:type="pct"/>
            <w:vMerge w:val="continue"/>
            <w:tcBorders>
              <w:top w:val="nil"/>
              <w:left w:val="single" w:color="auto" w:sz="8" w:space="0"/>
              <w:bottom w:val="single" w:color="000000" w:sz="8" w:space="0"/>
              <w:right w:val="single" w:color="auto" w:sz="8" w:space="0"/>
            </w:tcBorders>
            <w:shd w:val="clear" w:color="auto" w:fill="auto"/>
            <w:vAlign w:val="center"/>
          </w:tcPr>
          <w:p w14:paraId="76F8B32F">
            <w:pPr>
              <w:jc w:val="center"/>
              <w:rPr>
                <w:rFonts w:hint="eastAsia" w:ascii="宋体" w:hAnsi="宋体" w:eastAsia="宋体" w:cs="宋体"/>
                <w:i w:val="0"/>
                <w:iCs w:val="0"/>
                <w:color w:val="000000"/>
                <w:sz w:val="24"/>
                <w:szCs w:val="24"/>
                <w:highlight w:val="none"/>
                <w:u w:val="none"/>
              </w:rPr>
            </w:pPr>
          </w:p>
        </w:tc>
        <w:tc>
          <w:tcPr>
            <w:tcW w:w="798" w:type="pct"/>
            <w:vMerge w:val="continue"/>
            <w:tcBorders>
              <w:top w:val="nil"/>
              <w:left w:val="single" w:color="auto" w:sz="8" w:space="0"/>
              <w:bottom w:val="single" w:color="auto" w:sz="8" w:space="0"/>
              <w:right w:val="single" w:color="auto" w:sz="8" w:space="0"/>
            </w:tcBorders>
            <w:shd w:val="clear" w:color="auto" w:fill="auto"/>
            <w:vAlign w:val="center"/>
          </w:tcPr>
          <w:p w14:paraId="4379577A">
            <w:pPr>
              <w:jc w:val="center"/>
              <w:rPr>
                <w:rFonts w:hint="eastAsia" w:ascii="宋体" w:hAnsi="宋体" w:eastAsia="宋体" w:cs="宋体"/>
                <w:i w:val="0"/>
                <w:iCs w:val="0"/>
                <w:color w:val="000000"/>
                <w:sz w:val="22"/>
                <w:szCs w:val="22"/>
                <w:highlight w:val="none"/>
                <w:u w:val="none"/>
              </w:rPr>
            </w:pPr>
          </w:p>
        </w:tc>
        <w:tc>
          <w:tcPr>
            <w:tcW w:w="3055" w:type="pct"/>
            <w:tcBorders>
              <w:top w:val="nil"/>
              <w:left w:val="nil"/>
              <w:bottom w:val="single" w:color="auto" w:sz="8" w:space="0"/>
              <w:right w:val="single" w:color="auto" w:sz="8" w:space="0"/>
            </w:tcBorders>
            <w:shd w:val="clear" w:color="auto" w:fill="auto"/>
            <w:vAlign w:val="center"/>
          </w:tcPr>
          <w:p w14:paraId="278D60EB">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r>
              <w:rPr>
                <w:rStyle w:val="38"/>
                <w:highlight w:val="none"/>
                <w:lang w:val="en-US" w:eastAsia="zh-CN" w:bidi="ar"/>
              </w:rPr>
              <w:t>、项目负责人同时具有①人社部颁发的信息系统项目管理师高级资质证书②中国信息安全测评中心颁发的注册信息安全专业人员（</w:t>
            </w:r>
            <w:r>
              <w:rPr>
                <w:rStyle w:val="39"/>
                <w:rFonts w:eastAsia="宋体"/>
                <w:highlight w:val="none"/>
                <w:lang w:val="en-US" w:eastAsia="zh-CN" w:bidi="ar"/>
              </w:rPr>
              <w:t>CISP</w:t>
            </w:r>
            <w:r>
              <w:rPr>
                <w:rStyle w:val="38"/>
                <w:highlight w:val="none"/>
                <w:lang w:val="en-US" w:eastAsia="zh-CN" w:bidi="ar"/>
              </w:rPr>
              <w:t>）得</w:t>
            </w:r>
            <w:r>
              <w:rPr>
                <w:rStyle w:val="39"/>
                <w:rFonts w:eastAsia="宋体"/>
                <w:highlight w:val="none"/>
                <w:lang w:val="en-US" w:eastAsia="zh-CN" w:bidi="ar"/>
              </w:rPr>
              <w:t>5</w:t>
            </w:r>
            <w:r>
              <w:rPr>
                <w:rStyle w:val="38"/>
                <w:highlight w:val="none"/>
                <w:lang w:val="en-US" w:eastAsia="zh-CN" w:bidi="ar"/>
              </w:rPr>
              <w:t>分，缺项不得分。</w:t>
            </w:r>
            <w:r>
              <w:rPr>
                <w:rStyle w:val="38"/>
                <w:highlight w:val="none"/>
                <w:lang w:val="en-US" w:eastAsia="zh-CN" w:bidi="ar"/>
              </w:rPr>
              <w:br w:type="textWrapping"/>
            </w:r>
            <w:r>
              <w:rPr>
                <w:rStyle w:val="38"/>
                <w:highlight w:val="none"/>
                <w:lang w:val="en-US" w:eastAsia="zh-CN" w:bidi="ar"/>
              </w:rPr>
              <w:t>（项目负责人须为本单位人员，且在本企业缴纳社会保障资金，没有不得分。需提供缴纳社保证明材料的扫描件并加盖公章）。</w:t>
            </w:r>
          </w:p>
        </w:tc>
      </w:tr>
      <w:tr w14:paraId="072F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trPr>
        <w:tc>
          <w:tcPr>
            <w:tcW w:w="482" w:type="pct"/>
            <w:vMerge w:val="continue"/>
            <w:tcBorders>
              <w:top w:val="nil"/>
              <w:left w:val="single" w:color="auto" w:sz="8" w:space="0"/>
              <w:bottom w:val="single" w:color="auto" w:sz="4" w:space="0"/>
              <w:right w:val="single" w:color="auto" w:sz="8" w:space="0"/>
            </w:tcBorders>
            <w:shd w:val="clear" w:color="auto" w:fill="auto"/>
            <w:vAlign w:val="center"/>
          </w:tcPr>
          <w:p w14:paraId="7757A3A0">
            <w:pPr>
              <w:jc w:val="center"/>
              <w:rPr>
                <w:rFonts w:hint="eastAsia" w:ascii="宋体" w:hAnsi="宋体" w:eastAsia="宋体" w:cs="宋体"/>
                <w:i w:val="0"/>
                <w:iCs w:val="0"/>
                <w:color w:val="000000"/>
                <w:sz w:val="24"/>
                <w:szCs w:val="24"/>
                <w:highlight w:val="none"/>
                <w:u w:val="none"/>
              </w:rPr>
            </w:pPr>
          </w:p>
        </w:tc>
        <w:tc>
          <w:tcPr>
            <w:tcW w:w="663" w:type="pct"/>
            <w:vMerge w:val="continue"/>
            <w:tcBorders>
              <w:top w:val="nil"/>
              <w:left w:val="single" w:color="auto" w:sz="8" w:space="0"/>
              <w:bottom w:val="single" w:color="auto" w:sz="4" w:space="0"/>
              <w:right w:val="single" w:color="auto" w:sz="8" w:space="0"/>
            </w:tcBorders>
            <w:shd w:val="clear" w:color="auto" w:fill="auto"/>
            <w:vAlign w:val="center"/>
          </w:tcPr>
          <w:p w14:paraId="25E88BFF">
            <w:pPr>
              <w:jc w:val="center"/>
              <w:rPr>
                <w:rFonts w:hint="eastAsia" w:ascii="宋体" w:hAnsi="宋体" w:eastAsia="宋体" w:cs="宋体"/>
                <w:i w:val="0"/>
                <w:iCs w:val="0"/>
                <w:color w:val="000000"/>
                <w:sz w:val="24"/>
                <w:szCs w:val="24"/>
                <w:highlight w:val="none"/>
                <w:u w:val="none"/>
              </w:rPr>
            </w:pPr>
          </w:p>
        </w:tc>
        <w:tc>
          <w:tcPr>
            <w:tcW w:w="798" w:type="pct"/>
            <w:tcBorders>
              <w:top w:val="nil"/>
              <w:left w:val="nil"/>
              <w:bottom w:val="single" w:color="auto" w:sz="4" w:space="0"/>
              <w:right w:val="single" w:color="auto" w:sz="8" w:space="0"/>
            </w:tcBorders>
            <w:shd w:val="clear" w:color="auto" w:fill="auto"/>
            <w:vAlign w:val="center"/>
          </w:tcPr>
          <w:p w14:paraId="7DE72D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培训方案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（10分）</w:t>
            </w:r>
          </w:p>
        </w:tc>
        <w:tc>
          <w:tcPr>
            <w:tcW w:w="3055" w:type="pct"/>
            <w:tcBorders>
              <w:top w:val="nil"/>
              <w:left w:val="nil"/>
              <w:bottom w:val="single" w:color="auto" w:sz="4" w:space="0"/>
              <w:right w:val="single" w:color="auto" w:sz="8" w:space="0"/>
            </w:tcBorders>
            <w:shd w:val="clear" w:color="auto" w:fill="auto"/>
            <w:vAlign w:val="center"/>
          </w:tcPr>
          <w:p w14:paraId="6BE149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培训方案应包含培训方式、培训课程设置、培训时间规划等内容。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方案内容完整、合理可行的，得</w:t>
            </w:r>
            <w:r>
              <w:rPr>
                <w:rStyle w:val="39"/>
                <w:rFonts w:eastAsia="宋体"/>
                <w:highlight w:val="none"/>
                <w:lang w:val="en-US" w:eastAsia="zh-CN" w:bidi="ar"/>
              </w:rPr>
              <w:t>10</w:t>
            </w:r>
            <w:r>
              <w:rPr>
                <w:rStyle w:val="38"/>
                <w:highlight w:val="none"/>
                <w:lang w:val="en-US" w:eastAsia="zh-CN" w:bidi="ar"/>
              </w:rPr>
              <w:t>分；</w:t>
            </w:r>
            <w:r>
              <w:rPr>
                <w:rStyle w:val="38"/>
                <w:highlight w:val="none"/>
                <w:lang w:val="en-US" w:eastAsia="zh-CN" w:bidi="ar"/>
              </w:rPr>
              <w:br w:type="textWrapping"/>
            </w:r>
            <w:r>
              <w:rPr>
                <w:rStyle w:val="38"/>
                <w:highlight w:val="none"/>
                <w:lang w:val="en-US" w:eastAsia="zh-CN" w:bidi="ar"/>
              </w:rPr>
              <w:t>方案内容不完整、基本合理可行的，得</w:t>
            </w:r>
            <w:r>
              <w:rPr>
                <w:rStyle w:val="39"/>
                <w:rFonts w:eastAsia="宋体"/>
                <w:highlight w:val="none"/>
                <w:lang w:val="en-US" w:eastAsia="zh-CN" w:bidi="ar"/>
              </w:rPr>
              <w:t>6</w:t>
            </w:r>
            <w:r>
              <w:rPr>
                <w:rStyle w:val="38"/>
                <w:highlight w:val="none"/>
                <w:lang w:val="en-US" w:eastAsia="zh-CN" w:bidi="ar"/>
              </w:rPr>
              <w:t>分；</w:t>
            </w:r>
            <w:r>
              <w:rPr>
                <w:rStyle w:val="38"/>
                <w:highlight w:val="none"/>
                <w:lang w:val="en-US" w:eastAsia="zh-CN" w:bidi="ar"/>
              </w:rPr>
              <w:br w:type="textWrapping"/>
            </w:r>
            <w:r>
              <w:rPr>
                <w:rStyle w:val="38"/>
                <w:highlight w:val="none"/>
                <w:lang w:val="en-US" w:eastAsia="zh-CN" w:bidi="ar"/>
              </w:rPr>
              <w:t>方案内容不完整、不合理不可行的，得</w:t>
            </w:r>
            <w:r>
              <w:rPr>
                <w:rStyle w:val="39"/>
                <w:rFonts w:eastAsia="宋体"/>
                <w:highlight w:val="none"/>
                <w:lang w:val="en-US" w:eastAsia="zh-CN" w:bidi="ar"/>
              </w:rPr>
              <w:t>2</w:t>
            </w:r>
            <w:r>
              <w:rPr>
                <w:rStyle w:val="38"/>
                <w:highlight w:val="none"/>
                <w:lang w:val="en-US" w:eastAsia="zh-CN" w:bidi="ar"/>
              </w:rPr>
              <w:t>分；</w:t>
            </w:r>
            <w:r>
              <w:rPr>
                <w:rStyle w:val="38"/>
                <w:highlight w:val="none"/>
                <w:lang w:val="en-US" w:eastAsia="zh-CN" w:bidi="ar"/>
              </w:rPr>
              <w:br w:type="textWrapping"/>
            </w:r>
            <w:r>
              <w:rPr>
                <w:rStyle w:val="38"/>
                <w:highlight w:val="none"/>
                <w:lang w:val="en-US" w:eastAsia="zh-CN" w:bidi="ar"/>
              </w:rPr>
              <w:t>未编制方案的，得</w:t>
            </w:r>
            <w:r>
              <w:rPr>
                <w:rStyle w:val="39"/>
                <w:rFonts w:eastAsia="宋体"/>
                <w:highlight w:val="none"/>
                <w:lang w:val="en-US" w:eastAsia="zh-CN" w:bidi="ar"/>
              </w:rPr>
              <w:t>0</w:t>
            </w:r>
            <w:r>
              <w:rPr>
                <w:rStyle w:val="38"/>
                <w:highlight w:val="none"/>
                <w:lang w:val="en-US" w:eastAsia="zh-CN" w:bidi="ar"/>
              </w:rPr>
              <w:t>分。</w:t>
            </w:r>
          </w:p>
        </w:tc>
      </w:tr>
      <w:tr w14:paraId="731A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482" w:type="pct"/>
            <w:vMerge w:val="restart"/>
            <w:tcBorders>
              <w:top w:val="single" w:color="auto" w:sz="4" w:space="0"/>
              <w:left w:val="single" w:color="auto" w:sz="8" w:space="0"/>
              <w:bottom w:val="single" w:color="auto" w:sz="8" w:space="0"/>
              <w:right w:val="single" w:color="auto" w:sz="8" w:space="0"/>
            </w:tcBorders>
            <w:shd w:val="clear" w:color="auto" w:fill="auto"/>
            <w:vAlign w:val="center"/>
          </w:tcPr>
          <w:p w14:paraId="27ED42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63" w:type="pct"/>
            <w:vMerge w:val="restart"/>
            <w:tcBorders>
              <w:top w:val="single" w:color="auto" w:sz="4" w:space="0"/>
              <w:left w:val="single" w:color="auto" w:sz="8" w:space="0"/>
              <w:bottom w:val="single" w:color="auto" w:sz="8" w:space="0"/>
              <w:right w:val="single" w:color="auto" w:sz="8" w:space="0"/>
            </w:tcBorders>
            <w:shd w:val="clear" w:color="auto" w:fill="auto"/>
            <w:vAlign w:val="center"/>
          </w:tcPr>
          <w:p w14:paraId="4AB07B6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综合部分（25分）</w:t>
            </w:r>
          </w:p>
        </w:tc>
        <w:tc>
          <w:tcPr>
            <w:tcW w:w="798" w:type="pct"/>
            <w:tcBorders>
              <w:top w:val="single" w:color="auto" w:sz="4" w:space="0"/>
              <w:left w:val="nil"/>
              <w:bottom w:val="single" w:color="auto" w:sz="8" w:space="0"/>
              <w:right w:val="single" w:color="auto" w:sz="8" w:space="0"/>
            </w:tcBorders>
            <w:shd w:val="clear" w:color="auto" w:fill="auto"/>
            <w:vAlign w:val="center"/>
          </w:tcPr>
          <w:p w14:paraId="023AAA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企业业绩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（6分）</w:t>
            </w:r>
          </w:p>
        </w:tc>
        <w:tc>
          <w:tcPr>
            <w:tcW w:w="3055" w:type="pct"/>
            <w:tcBorders>
              <w:top w:val="single" w:color="auto" w:sz="4" w:space="0"/>
              <w:left w:val="nil"/>
              <w:bottom w:val="single" w:color="auto" w:sz="8" w:space="0"/>
              <w:right w:val="single" w:color="auto" w:sz="8" w:space="0"/>
            </w:tcBorders>
            <w:shd w:val="clear" w:color="auto" w:fill="auto"/>
            <w:vAlign w:val="center"/>
          </w:tcPr>
          <w:p w14:paraId="2F98DEA7">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供应商</w:t>
            </w:r>
            <w:r>
              <w:rPr>
                <w:rStyle w:val="39"/>
                <w:rFonts w:eastAsia="宋体"/>
                <w:highlight w:val="none"/>
                <w:lang w:val="en-US" w:eastAsia="zh-CN" w:bidi="ar"/>
              </w:rPr>
              <w:t>2022</w:t>
            </w:r>
            <w:r>
              <w:rPr>
                <w:rStyle w:val="38"/>
                <w:highlight w:val="none"/>
                <w:lang w:val="en-US" w:eastAsia="zh-CN" w:bidi="ar"/>
              </w:rPr>
              <w:t>年</w:t>
            </w:r>
            <w:r>
              <w:rPr>
                <w:rStyle w:val="39"/>
                <w:rFonts w:eastAsia="宋体"/>
                <w:highlight w:val="none"/>
                <w:lang w:val="en-US" w:eastAsia="zh-CN" w:bidi="ar"/>
              </w:rPr>
              <w:t>1</w:t>
            </w:r>
            <w:r>
              <w:rPr>
                <w:rStyle w:val="38"/>
                <w:highlight w:val="none"/>
                <w:lang w:val="en-US" w:eastAsia="zh-CN" w:bidi="ar"/>
              </w:rPr>
              <w:t>月</w:t>
            </w:r>
            <w:r>
              <w:rPr>
                <w:rStyle w:val="39"/>
                <w:rFonts w:eastAsia="宋体"/>
                <w:highlight w:val="none"/>
                <w:lang w:val="en-US" w:eastAsia="zh-CN" w:bidi="ar"/>
              </w:rPr>
              <w:t>1</w:t>
            </w:r>
            <w:r>
              <w:rPr>
                <w:rStyle w:val="38"/>
                <w:highlight w:val="none"/>
                <w:lang w:val="en-US" w:eastAsia="zh-CN" w:bidi="ar"/>
              </w:rPr>
              <w:t>日以来承担过信息化类业绩，每提供一个得</w:t>
            </w:r>
            <w:r>
              <w:rPr>
                <w:rStyle w:val="39"/>
                <w:rFonts w:eastAsia="宋体"/>
                <w:highlight w:val="none"/>
                <w:lang w:val="en-US" w:eastAsia="zh-CN" w:bidi="ar"/>
              </w:rPr>
              <w:t>3</w:t>
            </w:r>
            <w:r>
              <w:rPr>
                <w:rStyle w:val="38"/>
                <w:highlight w:val="none"/>
                <w:lang w:val="en-US" w:eastAsia="zh-CN" w:bidi="ar"/>
              </w:rPr>
              <w:t>分，最多得</w:t>
            </w:r>
            <w:r>
              <w:rPr>
                <w:rStyle w:val="39"/>
                <w:rFonts w:eastAsia="宋体"/>
                <w:highlight w:val="none"/>
                <w:lang w:val="en-US" w:eastAsia="zh-CN" w:bidi="ar"/>
              </w:rPr>
              <w:t>6</w:t>
            </w:r>
            <w:r>
              <w:rPr>
                <w:rStyle w:val="38"/>
                <w:highlight w:val="none"/>
                <w:lang w:val="en-US" w:eastAsia="zh-CN" w:bidi="ar"/>
              </w:rPr>
              <w:t>分；</w:t>
            </w:r>
            <w:r>
              <w:rPr>
                <w:rStyle w:val="38"/>
                <w:highlight w:val="none"/>
                <w:lang w:val="en-US" w:eastAsia="zh-CN" w:bidi="ar"/>
              </w:rPr>
              <w:br w:type="textWrapping"/>
            </w:r>
            <w:r>
              <w:rPr>
                <w:rStyle w:val="38"/>
                <w:highlight w:val="none"/>
                <w:lang w:val="en-US" w:eastAsia="zh-CN" w:bidi="ar"/>
              </w:rPr>
              <w:t>响应文件中需提供中标通知书、中标公示截图、合同扫描件关键页并加盖供应商电子签章，提供不齐全不得分，时间以合同签订日期为准。</w:t>
            </w:r>
          </w:p>
        </w:tc>
      </w:tr>
      <w:tr w14:paraId="6E81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7" w:hRule="atLeast"/>
        </w:trPr>
        <w:tc>
          <w:tcPr>
            <w:tcW w:w="482" w:type="pct"/>
            <w:vMerge w:val="continue"/>
            <w:tcBorders>
              <w:top w:val="nil"/>
              <w:left w:val="single" w:color="auto" w:sz="8" w:space="0"/>
              <w:bottom w:val="single" w:color="auto" w:sz="8" w:space="0"/>
              <w:right w:val="single" w:color="auto" w:sz="8" w:space="0"/>
            </w:tcBorders>
            <w:shd w:val="clear" w:color="auto" w:fill="auto"/>
            <w:vAlign w:val="center"/>
          </w:tcPr>
          <w:p w14:paraId="290AA63C">
            <w:pPr>
              <w:jc w:val="center"/>
              <w:rPr>
                <w:rFonts w:hint="eastAsia" w:ascii="宋体" w:hAnsi="宋体" w:eastAsia="宋体" w:cs="宋体"/>
                <w:i w:val="0"/>
                <w:iCs w:val="0"/>
                <w:color w:val="000000"/>
                <w:sz w:val="24"/>
                <w:szCs w:val="24"/>
                <w:highlight w:val="none"/>
                <w:u w:val="none"/>
              </w:rPr>
            </w:pPr>
          </w:p>
        </w:tc>
        <w:tc>
          <w:tcPr>
            <w:tcW w:w="663" w:type="pct"/>
            <w:vMerge w:val="continue"/>
            <w:tcBorders>
              <w:top w:val="nil"/>
              <w:left w:val="single" w:color="auto" w:sz="8" w:space="0"/>
              <w:bottom w:val="single" w:color="auto" w:sz="8" w:space="0"/>
              <w:right w:val="single" w:color="auto" w:sz="8" w:space="0"/>
            </w:tcBorders>
            <w:shd w:val="clear" w:color="auto" w:fill="auto"/>
            <w:vAlign w:val="center"/>
          </w:tcPr>
          <w:p w14:paraId="5AC3AEA6">
            <w:pPr>
              <w:jc w:val="left"/>
              <w:rPr>
                <w:rFonts w:hint="eastAsia" w:ascii="宋体" w:hAnsi="宋体" w:eastAsia="宋体" w:cs="宋体"/>
                <w:i w:val="0"/>
                <w:iCs w:val="0"/>
                <w:color w:val="000000"/>
                <w:sz w:val="24"/>
                <w:szCs w:val="24"/>
                <w:highlight w:val="none"/>
                <w:u w:val="none"/>
              </w:rPr>
            </w:pPr>
          </w:p>
        </w:tc>
        <w:tc>
          <w:tcPr>
            <w:tcW w:w="798" w:type="pct"/>
            <w:tcBorders>
              <w:top w:val="nil"/>
              <w:left w:val="nil"/>
              <w:bottom w:val="single" w:color="auto" w:sz="8" w:space="0"/>
              <w:right w:val="single" w:color="auto" w:sz="8" w:space="0"/>
            </w:tcBorders>
            <w:shd w:val="clear" w:color="auto" w:fill="auto"/>
            <w:vAlign w:val="center"/>
          </w:tcPr>
          <w:p w14:paraId="3B3622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线路网络能力（9分）</w:t>
            </w:r>
          </w:p>
        </w:tc>
        <w:tc>
          <w:tcPr>
            <w:tcW w:w="3055" w:type="pct"/>
            <w:tcBorders>
              <w:top w:val="nil"/>
              <w:left w:val="nil"/>
              <w:bottom w:val="single" w:color="auto" w:sz="8" w:space="0"/>
              <w:right w:val="single" w:color="auto" w:sz="8" w:space="0"/>
            </w:tcBorders>
            <w:shd w:val="clear" w:color="auto" w:fill="auto"/>
            <w:vAlign w:val="center"/>
          </w:tcPr>
          <w:p w14:paraId="62B05E9F">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该项目中有光纤线路网络，供应商具有基础电信业务经营许可证的得9分，不提供者不得分；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响应文件中需提供相关证明材料扫描件并加盖单位电子签章。下属分公司或子公司作为供应商的，可提供集团公司或总部的资格证书。</w:t>
            </w:r>
          </w:p>
        </w:tc>
      </w:tr>
      <w:tr w14:paraId="361E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8" w:hRule="atLeast"/>
        </w:trPr>
        <w:tc>
          <w:tcPr>
            <w:tcW w:w="482" w:type="pct"/>
            <w:vMerge w:val="continue"/>
            <w:tcBorders>
              <w:top w:val="nil"/>
              <w:left w:val="single" w:color="auto" w:sz="8" w:space="0"/>
              <w:bottom w:val="single" w:color="auto" w:sz="8" w:space="0"/>
              <w:right w:val="single" w:color="auto" w:sz="8" w:space="0"/>
            </w:tcBorders>
            <w:shd w:val="clear" w:color="auto" w:fill="auto"/>
            <w:vAlign w:val="center"/>
          </w:tcPr>
          <w:p w14:paraId="17836B73">
            <w:pPr>
              <w:jc w:val="center"/>
              <w:rPr>
                <w:rFonts w:hint="eastAsia" w:ascii="宋体" w:hAnsi="宋体" w:eastAsia="宋体" w:cs="宋体"/>
                <w:i w:val="0"/>
                <w:iCs w:val="0"/>
                <w:color w:val="000000"/>
                <w:sz w:val="24"/>
                <w:szCs w:val="24"/>
                <w:highlight w:val="none"/>
                <w:u w:val="none"/>
              </w:rPr>
            </w:pPr>
          </w:p>
        </w:tc>
        <w:tc>
          <w:tcPr>
            <w:tcW w:w="663" w:type="pct"/>
            <w:vMerge w:val="continue"/>
            <w:tcBorders>
              <w:top w:val="nil"/>
              <w:left w:val="single" w:color="auto" w:sz="8" w:space="0"/>
              <w:bottom w:val="single" w:color="auto" w:sz="8" w:space="0"/>
              <w:right w:val="single" w:color="auto" w:sz="8" w:space="0"/>
            </w:tcBorders>
            <w:shd w:val="clear" w:color="auto" w:fill="auto"/>
            <w:vAlign w:val="center"/>
          </w:tcPr>
          <w:p w14:paraId="3C2C7137">
            <w:pPr>
              <w:jc w:val="left"/>
              <w:rPr>
                <w:rFonts w:hint="eastAsia" w:ascii="宋体" w:hAnsi="宋体" w:eastAsia="宋体" w:cs="宋体"/>
                <w:i w:val="0"/>
                <w:iCs w:val="0"/>
                <w:color w:val="000000"/>
                <w:sz w:val="24"/>
                <w:szCs w:val="24"/>
                <w:highlight w:val="none"/>
                <w:u w:val="none"/>
              </w:rPr>
            </w:pPr>
          </w:p>
        </w:tc>
        <w:tc>
          <w:tcPr>
            <w:tcW w:w="798" w:type="pct"/>
            <w:tcBorders>
              <w:top w:val="nil"/>
              <w:left w:val="nil"/>
              <w:bottom w:val="single" w:color="auto" w:sz="8" w:space="0"/>
              <w:right w:val="single" w:color="auto" w:sz="8" w:space="0"/>
            </w:tcBorders>
            <w:shd w:val="clear" w:color="auto" w:fill="auto"/>
            <w:vAlign w:val="center"/>
          </w:tcPr>
          <w:p w14:paraId="20F5AE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服务承诺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（10分）</w:t>
            </w:r>
          </w:p>
        </w:tc>
        <w:tc>
          <w:tcPr>
            <w:tcW w:w="3055" w:type="pct"/>
            <w:tcBorders>
              <w:top w:val="nil"/>
              <w:left w:val="nil"/>
              <w:bottom w:val="single" w:color="auto" w:sz="8" w:space="0"/>
              <w:right w:val="single" w:color="auto" w:sz="8" w:space="0"/>
            </w:tcBorders>
            <w:shd w:val="clear" w:color="auto" w:fill="auto"/>
            <w:vAlign w:val="center"/>
          </w:tcPr>
          <w:p w14:paraId="2CF00125">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评标委员会根据各响应文件提出的服务承诺（包含售后服务内容、服务响应时间、应急措施如出现故障时备品备件的准备及响应情况、及时修复服务的措施）进行评定：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30分钟内响应迅速，措施完善、合理，预案全面、内容明确的得10分；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1个小时内处理时间较及时，措施较完善、合理，预案较全面、内容较明确的得6分；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响应速度一般，措施、预案、内容不够完善全面，可行性较差的得2分；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缺项不得分。</w:t>
            </w:r>
          </w:p>
        </w:tc>
      </w:tr>
    </w:tbl>
    <w:p w14:paraId="4D85F010">
      <w:pPr>
        <w:rPr>
          <w:rFonts w:hint="eastAsia"/>
          <w:highlight w:val="none"/>
        </w:rPr>
      </w:pPr>
    </w:p>
    <w:p w14:paraId="1B4E261E">
      <w:pPr>
        <w:rPr>
          <w:rFonts w:hint="eastAsia"/>
          <w:highlight w:val="none"/>
        </w:rPr>
      </w:pPr>
    </w:p>
    <w:p w14:paraId="6437250D">
      <w:pPr>
        <w:pStyle w:val="35"/>
        <w:wordWrap w:val="0"/>
        <w:snapToGrid w:val="0"/>
        <w:spacing w:line="360" w:lineRule="auto"/>
        <w:ind w:firstLine="41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特别提醒：</w:t>
      </w:r>
      <w:r>
        <w:rPr>
          <w:rFonts w:hint="eastAsia" w:ascii="宋体" w:hAnsi="宋体" w:cs="宋体"/>
          <w:color w:val="auto"/>
          <w:sz w:val="24"/>
          <w:szCs w:val="24"/>
          <w:highlight w:val="none"/>
        </w:rPr>
        <w:t>评分办法中涉及的所有加分的奖项、证书等均须在招标公告发布之前获得，在投标文件中附复印件或影印件并加盖单位公章，否则不予计分，缺项时均为0分。中标单位需在中标后，将投标文件中提供的以上奖项、证书全部原件提交业主单位核验，如有虚假，直接宣布中标无效，业主方有权决定由第二名候选单位替补中标或重新组织招标。并按《政府采购法》的相关规定对违规单位进行处罚，列入政府采购黑名单。</w:t>
      </w:r>
    </w:p>
    <w:p w14:paraId="4A7D87F0">
      <w:pPr>
        <w:pStyle w:val="35"/>
        <w:wordWrap w:val="0"/>
        <w:snapToGrid w:val="0"/>
        <w:spacing w:line="360" w:lineRule="auto"/>
        <w:ind w:firstLine="412"/>
        <w:rPr>
          <w:rFonts w:hint="eastAsia" w:ascii="宋体" w:hAnsi="宋体" w:cs="宋体"/>
          <w:color w:val="auto"/>
          <w:sz w:val="24"/>
          <w:szCs w:val="24"/>
          <w:highlight w:val="none"/>
        </w:rPr>
      </w:pPr>
      <w:r>
        <w:rPr>
          <w:rFonts w:hint="eastAsia" w:ascii="宋体" w:hAnsi="宋体" w:cs="宋体"/>
          <w:color w:val="auto"/>
          <w:sz w:val="24"/>
          <w:szCs w:val="24"/>
          <w:highlight w:val="none"/>
        </w:rPr>
        <w:t>（2）投标人提交的证明材料应客观、属实，并对其资料真实性承担相应责任。在投标有效期内，采购人有权对上述文件进行核查，发现有不实之处并经查实后，采购人有权取消投标人的中标资格，并且投标人应承担相应的法律责任；</w:t>
      </w:r>
    </w:p>
    <w:p w14:paraId="7C811F5B">
      <w:pPr>
        <w:pStyle w:val="35"/>
        <w:wordWrap w:val="0"/>
        <w:snapToGrid w:val="0"/>
        <w:spacing w:line="360" w:lineRule="auto"/>
        <w:ind w:firstLine="412"/>
        <w:rPr>
          <w:rFonts w:hint="eastAsia" w:ascii="宋体" w:hAnsi="宋体" w:cs="宋体"/>
          <w:color w:val="auto"/>
          <w:sz w:val="24"/>
          <w:szCs w:val="24"/>
          <w:highlight w:val="none"/>
        </w:rPr>
      </w:pPr>
      <w:r>
        <w:rPr>
          <w:rFonts w:hint="eastAsia" w:ascii="宋体" w:hAnsi="宋体" w:cs="宋体"/>
          <w:color w:val="auto"/>
          <w:sz w:val="24"/>
          <w:szCs w:val="24"/>
          <w:highlight w:val="none"/>
        </w:rPr>
        <w:t>（3）评标结果按评审后得分由高到低顺序排列。得分相同的，按投标报价由低到高顺序排列。得分且投标报价相同的并列。投标文件满足招标文件全部实质性要求，且按照评审因素（“综合部分”、“技术部分”）的量化指标次序评审得分最高的投标人为排名第一的中标候选人。</w:t>
      </w:r>
    </w:p>
    <w:p w14:paraId="1B2A0FAB">
      <w:pPr>
        <w:spacing w:line="336" w:lineRule="auto"/>
        <w:ind w:firstLine="472" w:firstLineChars="196"/>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7.6计分方法</w:t>
      </w:r>
    </w:p>
    <w:p w14:paraId="511A88C5">
      <w:pPr>
        <w:spacing w:line="33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对进入详细评审阶段的投标人的投标，依据评分标准对评价项目进行独立评审、计分。取各评委打分的算术平均值即为各投标人的最后得分（评委评分保留小数点后二位有效数字，价格计分和汇总最后得分保留小数点后三位有效数字，后面的数字四舍五入）。</w:t>
      </w:r>
    </w:p>
    <w:p w14:paraId="54B5EDFD">
      <w:pPr>
        <w:spacing w:line="336" w:lineRule="auto"/>
        <w:ind w:firstLine="472" w:firstLineChars="196"/>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7.7 评标报告</w:t>
      </w:r>
    </w:p>
    <w:p w14:paraId="3A63FF60">
      <w:pPr>
        <w:spacing w:line="336" w:lineRule="auto"/>
        <w:ind w:firstLine="472" w:firstLineChars="196"/>
        <w:rPr>
          <w:rFonts w:hint="eastAsia" w:ascii="宋体" w:hAnsi="宋体" w:cs="宋体"/>
          <w:color w:val="auto"/>
          <w:sz w:val="24"/>
          <w:szCs w:val="24"/>
          <w:highlight w:val="none"/>
        </w:rPr>
      </w:pPr>
      <w:r>
        <w:rPr>
          <w:rFonts w:hint="eastAsia" w:ascii="宋体" w:hAnsi="宋体" w:cs="宋体"/>
          <w:b/>
          <w:bCs/>
          <w:color w:val="auto"/>
          <w:sz w:val="24"/>
          <w:szCs w:val="24"/>
          <w:highlight w:val="none"/>
        </w:rPr>
        <w:t>7.7.1</w:t>
      </w:r>
      <w:r>
        <w:rPr>
          <w:rFonts w:hint="eastAsia" w:ascii="宋体" w:hAnsi="宋体" w:cs="宋体"/>
          <w:color w:val="auto"/>
          <w:sz w:val="24"/>
          <w:szCs w:val="24"/>
          <w:highlight w:val="none"/>
        </w:rPr>
        <w:t>评标委员会应根据综合评审和计分结果，编写评标报告。</w:t>
      </w:r>
    </w:p>
    <w:p w14:paraId="46B0DF7F">
      <w:pPr>
        <w:spacing w:line="336" w:lineRule="auto"/>
        <w:ind w:firstLine="472" w:firstLineChars="196"/>
        <w:rPr>
          <w:rFonts w:hint="eastAsia" w:ascii="宋体" w:hAnsi="宋体" w:cs="宋体"/>
          <w:color w:val="auto"/>
          <w:sz w:val="24"/>
          <w:szCs w:val="24"/>
          <w:highlight w:val="none"/>
        </w:rPr>
      </w:pPr>
      <w:r>
        <w:rPr>
          <w:rFonts w:hint="eastAsia" w:ascii="宋体" w:hAnsi="宋体" w:cs="宋体"/>
          <w:b/>
          <w:bCs/>
          <w:color w:val="auto"/>
          <w:sz w:val="24"/>
          <w:szCs w:val="24"/>
          <w:highlight w:val="none"/>
        </w:rPr>
        <w:t>7.7.2</w:t>
      </w:r>
      <w:r>
        <w:rPr>
          <w:rFonts w:hint="eastAsia" w:ascii="宋体" w:hAnsi="宋体" w:cs="宋体"/>
          <w:color w:val="auto"/>
          <w:sz w:val="24"/>
          <w:szCs w:val="24"/>
          <w:highlight w:val="none"/>
        </w:rPr>
        <w:t>评标报告应详细说明初步评审、详细评审的情况，并按得分高低排序推荐3名中标候选人。</w:t>
      </w:r>
    </w:p>
    <w:p w14:paraId="19E6A999">
      <w:pPr>
        <w:numPr>
          <w:ilvl w:val="0"/>
          <w:numId w:val="8"/>
        </w:numPr>
        <w:spacing w:line="336" w:lineRule="auto"/>
        <w:jc w:val="center"/>
        <w:outlineLvl w:val="0"/>
        <w:rPr>
          <w:rFonts w:hint="eastAsia" w:ascii="宋体" w:hAnsi="宋体" w:cs="宋体"/>
          <w:b/>
          <w:bCs/>
          <w:color w:val="auto"/>
          <w:kern w:val="44"/>
          <w:sz w:val="36"/>
          <w:szCs w:val="36"/>
          <w:highlight w:val="none"/>
        </w:rPr>
        <w:sectPr>
          <w:headerReference r:id="rId6" w:type="default"/>
          <w:footerReference r:id="rId7" w:type="default"/>
          <w:pgSz w:w="11906" w:h="16838"/>
          <w:pgMar w:top="1418" w:right="1134" w:bottom="1418" w:left="1134" w:header="851" w:footer="992" w:gutter="0"/>
          <w:cols w:space="720" w:num="1"/>
          <w:docGrid w:type="lines" w:linePitch="312" w:charSpace="0"/>
        </w:sectPr>
      </w:pPr>
    </w:p>
    <w:p w14:paraId="0C14D685">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sz w:val="32"/>
          <w:szCs w:val="32"/>
          <w:highlight w:val="none"/>
        </w:rPr>
      </w:pPr>
      <w:bookmarkStart w:id="533" w:name="_Toc6216"/>
      <w:bookmarkStart w:id="534" w:name="_Toc25440"/>
      <w:bookmarkStart w:id="535" w:name="_Toc61965477"/>
      <w:bookmarkStart w:id="536" w:name="_Toc61958258"/>
      <w:bookmarkStart w:id="537" w:name="_Toc28030"/>
      <w:bookmarkStart w:id="538" w:name="_Toc491"/>
      <w:bookmarkStart w:id="539" w:name="_Toc12699"/>
    </w:p>
    <w:p w14:paraId="4B7C0E40">
      <w:pPr>
        <w:pStyle w:val="3"/>
        <w:numPr>
          <w:ilvl w:val="0"/>
          <w:numId w:val="0"/>
        </w:numPr>
        <w:ind w:leftChars="0"/>
        <w:rPr>
          <w:rFonts w:hint="eastAsia"/>
          <w:highlight w:val="none"/>
        </w:rPr>
      </w:pPr>
      <w:bookmarkStart w:id="540" w:name="_Toc31573"/>
      <w:bookmarkStart w:id="541" w:name="_Toc20628"/>
      <w:r>
        <w:rPr>
          <w:rFonts w:hint="eastAsia"/>
          <w:highlight w:val="none"/>
        </w:rPr>
        <w:t>第四章 合同条款及格式</w:t>
      </w:r>
      <w:bookmarkEnd w:id="540"/>
      <w:bookmarkEnd w:id="541"/>
      <w:bookmarkStart w:id="542" w:name="_Toc144974826"/>
      <w:bookmarkEnd w:id="542"/>
      <w:bookmarkStart w:id="543" w:name="_Toc296503025"/>
      <w:bookmarkEnd w:id="543"/>
      <w:bookmarkStart w:id="544" w:name="_Toc351203480"/>
      <w:bookmarkEnd w:id="544"/>
      <w:bookmarkStart w:id="545" w:name="_Toc152045767"/>
      <w:bookmarkEnd w:id="545"/>
      <w:bookmarkStart w:id="546" w:name="_Toc152042546"/>
      <w:bookmarkEnd w:id="546"/>
      <w:bookmarkStart w:id="547" w:name="_Toc296890982"/>
      <w:bookmarkEnd w:id="547"/>
      <w:bookmarkStart w:id="548" w:name="_Toc2333474"/>
      <w:bookmarkEnd w:id="548"/>
      <w:bookmarkStart w:id="549" w:name="_Toc179632785"/>
      <w:bookmarkEnd w:id="549"/>
    </w:p>
    <w:p w14:paraId="4C0F4947">
      <w:pPr>
        <w:autoSpaceDE w:val="0"/>
        <w:autoSpaceDN w:val="0"/>
        <w:adjustRightInd w:val="0"/>
        <w:ind w:firstLine="1325" w:firstLineChars="300"/>
        <w:jc w:val="left"/>
        <w:rPr>
          <w:rFonts w:hint="eastAsia"/>
          <w:b/>
          <w:bCs/>
          <w:kern w:val="0"/>
          <w:sz w:val="44"/>
          <w:szCs w:val="44"/>
          <w:highlight w:val="none"/>
          <w:u w:val="none"/>
        </w:rPr>
      </w:pPr>
    </w:p>
    <w:p w14:paraId="3842D3BB">
      <w:pPr>
        <w:autoSpaceDE w:val="0"/>
        <w:autoSpaceDN w:val="0"/>
        <w:adjustRightInd w:val="0"/>
        <w:ind w:firstLine="1325" w:firstLineChars="300"/>
        <w:jc w:val="left"/>
        <w:rPr>
          <w:rFonts w:hint="eastAsia"/>
          <w:b/>
          <w:bCs/>
          <w:kern w:val="0"/>
          <w:sz w:val="44"/>
          <w:szCs w:val="44"/>
          <w:highlight w:val="none"/>
          <w:u w:val="none"/>
        </w:rPr>
      </w:pPr>
    </w:p>
    <w:p w14:paraId="6DDCCE89">
      <w:pPr>
        <w:autoSpaceDE w:val="0"/>
        <w:autoSpaceDN w:val="0"/>
        <w:adjustRightInd w:val="0"/>
        <w:ind w:firstLine="1325" w:firstLineChars="300"/>
        <w:jc w:val="left"/>
        <w:rPr>
          <w:rFonts w:hint="eastAsia"/>
          <w:b/>
          <w:bCs/>
          <w:kern w:val="0"/>
          <w:sz w:val="44"/>
          <w:szCs w:val="44"/>
          <w:highlight w:val="none"/>
          <w:u w:val="none"/>
        </w:rPr>
      </w:pPr>
    </w:p>
    <w:p w14:paraId="769E2E29">
      <w:pPr>
        <w:autoSpaceDE w:val="0"/>
        <w:autoSpaceDN w:val="0"/>
        <w:adjustRightInd w:val="0"/>
        <w:ind w:firstLine="1325" w:firstLineChars="300"/>
        <w:jc w:val="left"/>
        <w:rPr>
          <w:rFonts w:hint="eastAsia"/>
          <w:b/>
          <w:bCs/>
          <w:kern w:val="0"/>
          <w:sz w:val="44"/>
          <w:szCs w:val="44"/>
          <w:highlight w:val="none"/>
          <w:u w:val="none"/>
        </w:rPr>
      </w:pPr>
    </w:p>
    <w:p w14:paraId="5A4CB74F">
      <w:pPr>
        <w:autoSpaceDE w:val="0"/>
        <w:autoSpaceDN w:val="0"/>
        <w:adjustRightInd w:val="0"/>
        <w:ind w:firstLine="1325" w:firstLineChars="300"/>
        <w:jc w:val="left"/>
        <w:rPr>
          <w:rFonts w:hint="eastAsia"/>
          <w:b/>
          <w:bCs/>
          <w:kern w:val="0"/>
          <w:sz w:val="44"/>
          <w:szCs w:val="44"/>
          <w:highlight w:val="none"/>
          <w:u w:val="none"/>
        </w:rPr>
      </w:pPr>
      <w:r>
        <w:rPr>
          <w:rFonts w:hint="eastAsia"/>
          <w:b/>
          <w:bCs/>
          <w:kern w:val="0"/>
          <w:sz w:val="44"/>
          <w:szCs w:val="44"/>
          <w:highlight w:val="none"/>
          <w:u w:val="none"/>
        </w:rPr>
        <w:t>鲁山县数字城管系统升级改造项目</w:t>
      </w:r>
    </w:p>
    <w:p w14:paraId="3295BF69">
      <w:pPr>
        <w:autoSpaceDE w:val="0"/>
        <w:autoSpaceDN w:val="0"/>
        <w:adjustRightInd w:val="0"/>
        <w:jc w:val="center"/>
        <w:rPr>
          <w:rFonts w:hint="eastAsia"/>
          <w:color w:val="000000"/>
          <w:kern w:val="0"/>
          <w:sz w:val="32"/>
          <w:szCs w:val="32"/>
          <w:highlight w:val="none"/>
        </w:rPr>
      </w:pPr>
      <w:r>
        <w:rPr>
          <w:rFonts w:hint="eastAsia"/>
          <w:color w:val="000000"/>
          <w:kern w:val="0"/>
          <w:sz w:val="32"/>
          <w:szCs w:val="32"/>
          <w:highlight w:val="none"/>
        </w:rPr>
        <w:t xml:space="preserve"> </w:t>
      </w:r>
    </w:p>
    <w:p w14:paraId="5164B921">
      <w:pPr>
        <w:autoSpaceDE w:val="0"/>
        <w:autoSpaceDN w:val="0"/>
        <w:adjustRightInd w:val="0"/>
        <w:jc w:val="center"/>
        <w:rPr>
          <w:rFonts w:hint="eastAsia"/>
          <w:color w:val="000000"/>
          <w:kern w:val="0"/>
          <w:sz w:val="32"/>
          <w:szCs w:val="32"/>
          <w:highlight w:val="none"/>
        </w:rPr>
      </w:pPr>
      <w:r>
        <w:rPr>
          <w:rFonts w:hint="eastAsia"/>
          <w:color w:val="000000"/>
          <w:kern w:val="0"/>
          <w:sz w:val="32"/>
          <w:szCs w:val="32"/>
          <w:highlight w:val="none"/>
        </w:rPr>
        <w:t xml:space="preserve"> </w:t>
      </w:r>
    </w:p>
    <w:p w14:paraId="0F94DE97">
      <w:pPr>
        <w:autoSpaceDE w:val="0"/>
        <w:autoSpaceDN w:val="0"/>
        <w:adjustRightInd w:val="0"/>
        <w:jc w:val="center"/>
        <w:rPr>
          <w:rFonts w:hint="eastAsia"/>
          <w:color w:val="000000"/>
          <w:kern w:val="0"/>
          <w:sz w:val="32"/>
          <w:szCs w:val="32"/>
          <w:highlight w:val="none"/>
        </w:rPr>
      </w:pPr>
    </w:p>
    <w:p w14:paraId="6BB82A54">
      <w:pPr>
        <w:autoSpaceDE w:val="0"/>
        <w:autoSpaceDN w:val="0"/>
        <w:adjustRightInd w:val="0"/>
        <w:jc w:val="center"/>
        <w:rPr>
          <w:rFonts w:hint="eastAsia"/>
          <w:color w:val="000000"/>
          <w:kern w:val="0"/>
          <w:sz w:val="32"/>
          <w:szCs w:val="32"/>
          <w:highlight w:val="none"/>
        </w:rPr>
      </w:pPr>
    </w:p>
    <w:p w14:paraId="459ADB3E">
      <w:pPr>
        <w:autoSpaceDE w:val="0"/>
        <w:autoSpaceDN w:val="0"/>
        <w:adjustRightInd w:val="0"/>
        <w:jc w:val="center"/>
        <w:rPr>
          <w:rFonts w:hint="eastAsia"/>
          <w:color w:val="000000"/>
          <w:kern w:val="0"/>
          <w:sz w:val="32"/>
          <w:szCs w:val="32"/>
          <w:highlight w:val="none"/>
        </w:rPr>
      </w:pPr>
    </w:p>
    <w:p w14:paraId="4A7023CE">
      <w:pPr>
        <w:autoSpaceDE w:val="0"/>
        <w:autoSpaceDN w:val="0"/>
        <w:adjustRightInd w:val="0"/>
        <w:jc w:val="center"/>
        <w:rPr>
          <w:rFonts w:hint="eastAsia"/>
          <w:color w:val="000000"/>
          <w:kern w:val="0"/>
          <w:sz w:val="32"/>
          <w:szCs w:val="32"/>
          <w:highlight w:val="none"/>
        </w:rPr>
      </w:pPr>
    </w:p>
    <w:p w14:paraId="202852B1">
      <w:pPr>
        <w:autoSpaceDE w:val="0"/>
        <w:autoSpaceDN w:val="0"/>
        <w:adjustRightInd w:val="0"/>
        <w:jc w:val="center"/>
        <w:rPr>
          <w:rFonts w:hint="eastAsia"/>
          <w:color w:val="000000"/>
          <w:kern w:val="0"/>
          <w:sz w:val="32"/>
          <w:szCs w:val="32"/>
          <w:highlight w:val="none"/>
        </w:rPr>
      </w:pPr>
    </w:p>
    <w:p w14:paraId="3AA669A1">
      <w:pPr>
        <w:autoSpaceDE w:val="0"/>
        <w:autoSpaceDN w:val="0"/>
        <w:adjustRightInd w:val="0"/>
        <w:jc w:val="center"/>
        <w:rPr>
          <w:rFonts w:hint="eastAsia"/>
          <w:color w:val="000000"/>
          <w:kern w:val="0"/>
          <w:sz w:val="32"/>
          <w:szCs w:val="32"/>
          <w:highlight w:val="none"/>
        </w:rPr>
      </w:pPr>
      <w:r>
        <w:rPr>
          <w:rFonts w:hint="eastAsia"/>
          <w:color w:val="000000"/>
          <w:kern w:val="0"/>
          <w:sz w:val="32"/>
          <w:szCs w:val="32"/>
          <w:highlight w:val="none"/>
        </w:rPr>
        <w:t xml:space="preserve"> </w:t>
      </w:r>
    </w:p>
    <w:p w14:paraId="69A6D693">
      <w:pPr>
        <w:autoSpaceDE w:val="0"/>
        <w:autoSpaceDN w:val="0"/>
        <w:adjustRightInd w:val="0"/>
        <w:jc w:val="center"/>
        <w:rPr>
          <w:rFonts w:hint="eastAsia"/>
          <w:color w:val="000000"/>
          <w:kern w:val="0"/>
          <w:sz w:val="32"/>
          <w:szCs w:val="32"/>
          <w:highlight w:val="none"/>
        </w:rPr>
      </w:pPr>
      <w:r>
        <w:rPr>
          <w:rFonts w:hint="eastAsia"/>
          <w:color w:val="000000"/>
          <w:kern w:val="0"/>
          <w:sz w:val="32"/>
          <w:szCs w:val="32"/>
          <w:highlight w:val="none"/>
        </w:rPr>
        <w:t xml:space="preserve"> </w:t>
      </w:r>
    </w:p>
    <w:p w14:paraId="50BE9013">
      <w:pPr>
        <w:autoSpaceDE w:val="0"/>
        <w:autoSpaceDN w:val="0"/>
        <w:adjustRightInd w:val="0"/>
        <w:jc w:val="center"/>
        <w:rPr>
          <w:rFonts w:hint="eastAsia"/>
          <w:color w:val="000000"/>
          <w:kern w:val="0"/>
          <w:sz w:val="32"/>
          <w:szCs w:val="32"/>
          <w:highlight w:val="none"/>
        </w:rPr>
      </w:pPr>
      <w:r>
        <w:rPr>
          <w:rFonts w:hint="eastAsia"/>
          <w:color w:val="000000"/>
          <w:kern w:val="0"/>
          <w:sz w:val="32"/>
          <w:szCs w:val="32"/>
          <w:highlight w:val="none"/>
        </w:rPr>
        <w:t xml:space="preserve"> </w:t>
      </w:r>
    </w:p>
    <w:p w14:paraId="0C0C239A">
      <w:pPr>
        <w:autoSpaceDE w:val="0"/>
        <w:autoSpaceDN w:val="0"/>
        <w:adjustRightInd w:val="0"/>
        <w:jc w:val="center"/>
        <w:rPr>
          <w:rFonts w:hint="eastAsia"/>
          <w:kern w:val="0"/>
          <w:sz w:val="32"/>
          <w:szCs w:val="32"/>
          <w:highlight w:val="none"/>
        </w:rPr>
      </w:pPr>
      <w:r>
        <w:rPr>
          <w:rFonts w:hint="eastAsia"/>
          <w:kern w:val="0"/>
          <w:sz w:val="32"/>
          <w:szCs w:val="32"/>
          <w:highlight w:val="none"/>
        </w:rPr>
        <w:t xml:space="preserve"> </w:t>
      </w:r>
    </w:p>
    <w:p w14:paraId="5E7EFFA4">
      <w:pPr>
        <w:autoSpaceDE w:val="0"/>
        <w:autoSpaceDN w:val="0"/>
        <w:adjustRightInd w:val="0"/>
        <w:jc w:val="center"/>
        <w:rPr>
          <w:rFonts w:hint="eastAsia"/>
          <w:b/>
          <w:bCs/>
          <w:kern w:val="0"/>
          <w:sz w:val="24"/>
          <w:szCs w:val="24"/>
          <w:highlight w:val="none"/>
        </w:rPr>
      </w:pPr>
      <w:r>
        <w:rPr>
          <w:rFonts w:hint="eastAsia"/>
          <w:b/>
          <w:bCs/>
          <w:kern w:val="0"/>
          <w:sz w:val="24"/>
          <w:szCs w:val="24"/>
          <w:highlight w:val="none"/>
        </w:rPr>
        <w:t xml:space="preserve"> </w:t>
      </w:r>
    </w:p>
    <w:p w14:paraId="765C7FD1">
      <w:pPr>
        <w:autoSpaceDE w:val="0"/>
        <w:autoSpaceDN w:val="0"/>
        <w:adjustRightInd w:val="0"/>
        <w:jc w:val="left"/>
        <w:rPr>
          <w:rFonts w:hint="eastAsia"/>
          <w:b/>
          <w:bCs/>
          <w:kern w:val="0"/>
          <w:sz w:val="28"/>
          <w:szCs w:val="28"/>
          <w:highlight w:val="none"/>
          <w:u w:val="single"/>
        </w:rPr>
      </w:pPr>
      <w:r>
        <w:rPr>
          <w:rFonts w:hint="eastAsia"/>
          <w:b/>
          <w:bCs/>
          <w:kern w:val="0"/>
          <w:sz w:val="28"/>
          <w:szCs w:val="28"/>
          <w:highlight w:val="none"/>
        </w:rPr>
        <w:t>项目名称：</w:t>
      </w:r>
      <w:r>
        <w:rPr>
          <w:rFonts w:hint="eastAsia"/>
          <w:b/>
          <w:bCs/>
          <w:kern w:val="0"/>
          <w:sz w:val="28"/>
          <w:szCs w:val="28"/>
          <w:highlight w:val="none"/>
          <w:u w:val="single"/>
        </w:rPr>
        <w:t xml:space="preserve"> 鲁山县数字城管系统升级改造项目   </w:t>
      </w:r>
    </w:p>
    <w:p w14:paraId="666E5179">
      <w:pPr>
        <w:autoSpaceDE w:val="0"/>
        <w:autoSpaceDN w:val="0"/>
        <w:adjustRightInd w:val="0"/>
        <w:jc w:val="left"/>
        <w:rPr>
          <w:rFonts w:hint="eastAsia"/>
          <w:b/>
          <w:bCs/>
          <w:kern w:val="0"/>
          <w:sz w:val="28"/>
          <w:szCs w:val="28"/>
          <w:highlight w:val="none"/>
          <w:u w:val="single"/>
        </w:rPr>
      </w:pPr>
      <w:r>
        <w:rPr>
          <w:rFonts w:hint="eastAsia"/>
          <w:b/>
          <w:bCs/>
          <w:kern w:val="0"/>
          <w:sz w:val="28"/>
          <w:szCs w:val="28"/>
          <w:highlight w:val="none"/>
        </w:rPr>
        <w:t>委托方（甲方）：</w:t>
      </w:r>
      <w:r>
        <w:rPr>
          <w:rFonts w:hint="eastAsia"/>
          <w:b/>
          <w:bCs/>
          <w:kern w:val="0"/>
          <w:sz w:val="28"/>
          <w:szCs w:val="28"/>
          <w:highlight w:val="none"/>
          <w:u w:val="single"/>
        </w:rPr>
        <w:t xml:space="preserve">   鲁山县城市管理局       </w:t>
      </w:r>
    </w:p>
    <w:p w14:paraId="157E3047">
      <w:pPr>
        <w:autoSpaceDE w:val="0"/>
        <w:autoSpaceDN w:val="0"/>
        <w:adjustRightInd w:val="0"/>
        <w:jc w:val="left"/>
        <w:rPr>
          <w:rFonts w:hint="eastAsia"/>
          <w:b/>
          <w:bCs/>
          <w:color w:val="000000"/>
          <w:kern w:val="0"/>
          <w:sz w:val="28"/>
          <w:szCs w:val="28"/>
          <w:highlight w:val="none"/>
          <w:u w:val="single"/>
        </w:rPr>
      </w:pPr>
      <w:r>
        <w:rPr>
          <w:rFonts w:hint="eastAsia"/>
          <w:b/>
          <w:bCs/>
          <w:color w:val="000000"/>
          <w:kern w:val="0"/>
          <w:sz w:val="28"/>
          <w:szCs w:val="28"/>
          <w:highlight w:val="none"/>
        </w:rPr>
        <w:t>受托方（乙方）：</w:t>
      </w:r>
      <w:r>
        <w:rPr>
          <w:rFonts w:hint="eastAsia"/>
          <w:b/>
          <w:bCs/>
          <w:kern w:val="0"/>
          <w:sz w:val="28"/>
          <w:szCs w:val="28"/>
          <w:highlight w:val="none"/>
          <w:u w:val="single"/>
        </w:rPr>
        <w:t xml:space="preserve">                                </w:t>
      </w:r>
    </w:p>
    <w:p w14:paraId="0A23150D">
      <w:pPr>
        <w:autoSpaceDE w:val="0"/>
        <w:autoSpaceDN w:val="0"/>
        <w:adjustRightInd w:val="0"/>
        <w:jc w:val="left"/>
        <w:rPr>
          <w:rFonts w:hint="eastAsia"/>
          <w:b/>
          <w:bCs/>
          <w:color w:val="000000"/>
          <w:kern w:val="0"/>
          <w:sz w:val="28"/>
          <w:szCs w:val="28"/>
          <w:highlight w:val="none"/>
          <w:u w:val="single"/>
        </w:rPr>
      </w:pPr>
      <w:r>
        <w:rPr>
          <w:rFonts w:hint="eastAsia"/>
          <w:b/>
          <w:bCs/>
          <w:color w:val="000000"/>
          <w:kern w:val="0"/>
          <w:sz w:val="28"/>
          <w:szCs w:val="28"/>
          <w:highlight w:val="none"/>
        </w:rPr>
        <w:t>签订地点：</w:t>
      </w:r>
      <w:r>
        <w:rPr>
          <w:rFonts w:hint="eastAsia"/>
          <w:b/>
          <w:bCs/>
          <w:color w:val="000000"/>
          <w:kern w:val="0"/>
          <w:sz w:val="28"/>
          <w:szCs w:val="28"/>
          <w:highlight w:val="none"/>
          <w:u w:val="single"/>
        </w:rPr>
        <w:t xml:space="preserve">        </w:t>
      </w:r>
      <w:r>
        <w:rPr>
          <w:rFonts w:hint="eastAsia"/>
          <w:b/>
          <w:bCs/>
          <w:color w:val="000000"/>
          <w:kern w:val="0"/>
          <w:sz w:val="28"/>
          <w:szCs w:val="28"/>
          <w:highlight w:val="none"/>
          <w:u w:val="single"/>
          <w:lang w:val="en-US" w:eastAsia="zh-CN"/>
        </w:rPr>
        <w:t>河南省鲁山县</w:t>
      </w:r>
      <w:r>
        <w:rPr>
          <w:rFonts w:hint="eastAsia"/>
          <w:b/>
          <w:bCs/>
          <w:color w:val="000000"/>
          <w:kern w:val="0"/>
          <w:sz w:val="28"/>
          <w:szCs w:val="28"/>
          <w:highlight w:val="none"/>
          <w:u w:val="single"/>
        </w:rPr>
        <w:t xml:space="preserve">                </w:t>
      </w:r>
    </w:p>
    <w:p w14:paraId="4094C861">
      <w:pPr>
        <w:autoSpaceDE w:val="0"/>
        <w:autoSpaceDN w:val="0"/>
        <w:adjustRightInd w:val="0"/>
        <w:jc w:val="center"/>
        <w:rPr>
          <w:rFonts w:hint="eastAsia"/>
          <w:b/>
          <w:bCs/>
          <w:color w:val="000000"/>
          <w:kern w:val="0"/>
          <w:sz w:val="22"/>
          <w:szCs w:val="22"/>
          <w:highlight w:val="none"/>
        </w:rPr>
      </w:pPr>
      <w:r>
        <w:rPr>
          <w:rFonts w:hint="eastAsia"/>
          <w:b/>
          <w:bCs/>
          <w:color w:val="000000"/>
          <w:kern w:val="0"/>
          <w:sz w:val="22"/>
          <w:szCs w:val="22"/>
          <w:highlight w:val="none"/>
        </w:rPr>
        <w:t xml:space="preserve"> </w:t>
      </w:r>
    </w:p>
    <w:p w14:paraId="2890DEE7">
      <w:pPr>
        <w:autoSpaceDE w:val="0"/>
        <w:autoSpaceDN w:val="0"/>
        <w:adjustRightInd w:val="0"/>
        <w:jc w:val="center"/>
        <w:rPr>
          <w:rFonts w:hint="eastAsia"/>
          <w:b/>
          <w:bCs/>
          <w:color w:val="000000"/>
          <w:kern w:val="0"/>
          <w:sz w:val="28"/>
          <w:szCs w:val="28"/>
          <w:highlight w:val="none"/>
        </w:rPr>
      </w:pPr>
      <w:r>
        <w:rPr>
          <w:rFonts w:hint="eastAsia"/>
          <w:b/>
          <w:bCs/>
          <w:color w:val="000000"/>
          <w:kern w:val="0"/>
          <w:sz w:val="28"/>
          <w:szCs w:val="28"/>
          <w:highlight w:val="none"/>
        </w:rPr>
        <w:t xml:space="preserve"> </w:t>
      </w:r>
    </w:p>
    <w:p w14:paraId="2D55C6CF">
      <w:pPr>
        <w:autoSpaceDE w:val="0"/>
        <w:autoSpaceDN w:val="0"/>
        <w:adjustRightInd w:val="0"/>
        <w:jc w:val="left"/>
        <w:rPr>
          <w:rFonts w:hint="eastAsia"/>
          <w:b/>
          <w:color w:val="000000"/>
          <w:kern w:val="0"/>
          <w:sz w:val="30"/>
          <w:szCs w:val="30"/>
          <w:highlight w:val="none"/>
        </w:rPr>
      </w:pPr>
      <w:r>
        <w:rPr>
          <w:rFonts w:hint="eastAsia"/>
          <w:b/>
          <w:color w:val="000000"/>
          <w:kern w:val="0"/>
          <w:sz w:val="30"/>
          <w:szCs w:val="30"/>
          <w:highlight w:val="none"/>
        </w:rPr>
        <w:t xml:space="preserve"> </w:t>
      </w:r>
    </w:p>
    <w:p w14:paraId="008969A6">
      <w:pPr>
        <w:autoSpaceDE w:val="0"/>
        <w:autoSpaceDN w:val="0"/>
        <w:adjustRightInd w:val="0"/>
        <w:jc w:val="left"/>
        <w:rPr>
          <w:rFonts w:hint="eastAsia"/>
          <w:color w:val="000000"/>
          <w:kern w:val="0"/>
          <w:sz w:val="24"/>
          <w:szCs w:val="24"/>
          <w:highlight w:val="none"/>
        </w:rPr>
      </w:pPr>
      <w:r>
        <w:rPr>
          <w:rFonts w:hint="eastAsia"/>
          <w:color w:val="000000"/>
          <w:kern w:val="0"/>
          <w:sz w:val="24"/>
          <w:szCs w:val="24"/>
          <w:highlight w:val="none"/>
        </w:rPr>
        <w:t xml:space="preserve"> </w:t>
      </w:r>
    </w:p>
    <w:p w14:paraId="768B211B">
      <w:pPr>
        <w:autoSpaceDE w:val="0"/>
        <w:autoSpaceDN w:val="0"/>
        <w:adjustRightInd w:val="0"/>
        <w:ind w:firstLine="472" w:firstLineChars="196"/>
        <w:jc w:val="left"/>
        <w:rPr>
          <w:rFonts w:hint="eastAsia"/>
          <w:b/>
          <w:bCs/>
          <w:color w:val="000000"/>
          <w:kern w:val="0"/>
          <w:highlight w:val="none"/>
        </w:rPr>
      </w:pPr>
      <w:r>
        <w:rPr>
          <w:rFonts w:hint="eastAsia"/>
          <w:b/>
          <w:bCs/>
          <w:color w:val="000000"/>
          <w:kern w:val="0"/>
          <w:sz w:val="24"/>
          <w:szCs w:val="24"/>
          <w:highlight w:val="none"/>
        </w:rPr>
        <w:br w:type="page"/>
      </w:r>
      <w:r>
        <w:rPr>
          <w:rFonts w:hint="eastAsia"/>
          <w:color w:val="000000"/>
          <w:kern w:val="0"/>
          <w:highlight w:val="none"/>
        </w:rPr>
        <w:t>根据《中华人民共和国民法典》及相关法律法规的规定，甲乙双方在平等、自愿、公平、协商一致的基础上，就甲方委托乙方提供计算机信息系统集成服务的有关事宜达成如下协议：</w:t>
      </w:r>
    </w:p>
    <w:p w14:paraId="0188CA3D">
      <w:pPr>
        <w:rPr>
          <w:rFonts w:hint="eastAsia"/>
          <w:b/>
          <w:bCs/>
          <w:sz w:val="22"/>
          <w:szCs w:val="22"/>
          <w:highlight w:val="none"/>
        </w:rPr>
      </w:pPr>
      <w:r>
        <w:rPr>
          <w:rFonts w:hint="eastAsia"/>
          <w:b/>
          <w:bCs/>
          <w:sz w:val="22"/>
          <w:szCs w:val="22"/>
          <w:highlight w:val="none"/>
        </w:rPr>
        <w:t>第一条  集成服务内容</w:t>
      </w:r>
    </w:p>
    <w:p w14:paraId="72D8B687">
      <w:pPr>
        <w:autoSpaceDE w:val="0"/>
        <w:autoSpaceDN w:val="0"/>
        <w:adjustRightInd w:val="0"/>
        <w:ind w:firstLine="480"/>
        <w:jc w:val="left"/>
        <w:rPr>
          <w:rFonts w:hint="eastAsia"/>
          <w:color w:val="000000"/>
          <w:kern w:val="0"/>
          <w:highlight w:val="none"/>
        </w:rPr>
      </w:pPr>
      <w:r>
        <w:rPr>
          <w:rFonts w:hint="eastAsia"/>
          <w:color w:val="000000"/>
          <w:kern w:val="0"/>
          <w:highlight w:val="none"/>
        </w:rPr>
        <w:t>1、</w:t>
      </w:r>
      <w:r>
        <w:rPr>
          <w:rFonts w:hint="eastAsia"/>
          <w:kern w:val="0"/>
          <w:highlight w:val="none"/>
        </w:rPr>
        <w:t>甲方委托乙方提供</w:t>
      </w:r>
      <w:r>
        <w:rPr>
          <w:rFonts w:hint="eastAsia"/>
          <w:kern w:val="0"/>
          <w:highlight w:val="none"/>
          <w:u w:val="single"/>
        </w:rPr>
        <w:t xml:space="preserve">  鲁山县城市管理局鲁山县数字城管系统升级改造</w:t>
      </w:r>
      <w:r>
        <w:rPr>
          <w:rFonts w:hint="eastAsia"/>
          <w:kern w:val="0"/>
          <w:highlight w:val="none"/>
        </w:rPr>
        <w:t>项目系统服务</w:t>
      </w:r>
      <w:r>
        <w:rPr>
          <w:rFonts w:hint="eastAsia"/>
          <w:color w:val="000000"/>
          <w:kern w:val="0"/>
          <w:highlight w:val="none"/>
        </w:rPr>
        <w:t>（以下简称“本项目”）。本项目的整体功能应当符合</w:t>
      </w:r>
      <w:r>
        <w:rPr>
          <w:rFonts w:hint="eastAsia"/>
          <w:color w:val="000000"/>
          <w:kern w:val="0"/>
          <w:highlight w:val="none"/>
          <w:lang w:val="en-US" w:eastAsia="zh-CN"/>
        </w:rPr>
        <w:t>招标</w:t>
      </w:r>
      <w:r>
        <w:rPr>
          <w:rFonts w:hint="eastAsia"/>
          <w:color w:val="000000"/>
          <w:kern w:val="0"/>
          <w:highlight w:val="none"/>
        </w:rPr>
        <w:t>文件技术部分。</w:t>
      </w:r>
    </w:p>
    <w:p w14:paraId="2652DE9D">
      <w:pPr>
        <w:autoSpaceDE w:val="0"/>
        <w:autoSpaceDN w:val="0"/>
        <w:adjustRightInd w:val="0"/>
        <w:ind w:firstLine="480"/>
        <w:jc w:val="left"/>
        <w:rPr>
          <w:rFonts w:hint="eastAsia"/>
          <w:color w:val="000000"/>
          <w:kern w:val="0"/>
          <w:highlight w:val="none"/>
        </w:rPr>
      </w:pPr>
      <w:r>
        <w:rPr>
          <w:rFonts w:hint="eastAsia"/>
          <w:color w:val="000000"/>
          <w:kern w:val="0"/>
          <w:highlight w:val="none"/>
        </w:rPr>
        <w:t>2、集成服务内容</w:t>
      </w:r>
    </w:p>
    <w:p w14:paraId="404A23B0">
      <w:pPr>
        <w:autoSpaceDE w:val="0"/>
        <w:autoSpaceDN w:val="0"/>
        <w:adjustRightInd w:val="0"/>
        <w:ind w:firstLine="480"/>
        <w:jc w:val="left"/>
        <w:rPr>
          <w:rFonts w:hint="eastAsia"/>
          <w:color w:val="000000"/>
          <w:kern w:val="0"/>
          <w:highlight w:val="none"/>
        </w:rPr>
      </w:pPr>
      <w:r>
        <w:rPr>
          <w:rFonts w:hint="eastAsia"/>
          <w:color w:val="000000"/>
          <w:kern w:val="0"/>
          <w:highlight w:val="none"/>
        </w:rPr>
        <w:t>（1）乙方提供的服务包括如下内容：</w:t>
      </w:r>
    </w:p>
    <w:p w14:paraId="3CA0E02D">
      <w:pPr>
        <w:autoSpaceDE w:val="0"/>
        <w:autoSpaceDN w:val="0"/>
        <w:adjustRightInd w:val="0"/>
        <w:ind w:firstLine="480"/>
        <w:jc w:val="left"/>
        <w:rPr>
          <w:rFonts w:hint="eastAsia"/>
          <w:color w:val="000000"/>
          <w:kern w:val="0"/>
          <w:highlight w:val="none"/>
        </w:rPr>
      </w:pPr>
      <w:r>
        <w:rPr>
          <w:rFonts w:hint="eastAsia"/>
          <w:color w:val="000000"/>
          <w:kern w:val="0"/>
          <w:highlight w:val="none"/>
        </w:rPr>
        <w:t>数字城管系统软件部分升级，数据</w:t>
      </w:r>
      <w:r>
        <w:rPr>
          <w:rFonts w:hint="eastAsia"/>
          <w:color w:val="000000"/>
          <w:kern w:val="0"/>
          <w:highlight w:val="none"/>
          <w:lang w:val="en-US" w:eastAsia="zh-CN"/>
        </w:rPr>
        <w:t>普查</w:t>
      </w:r>
      <w:r>
        <w:rPr>
          <w:rFonts w:hint="eastAsia"/>
          <w:color w:val="000000"/>
          <w:kern w:val="0"/>
          <w:highlight w:val="none"/>
        </w:rPr>
        <w:t>服务，以及大屏幕显示系统，办公系统，数据服务系统与数据交换系统</w:t>
      </w:r>
      <w:r>
        <w:rPr>
          <w:rFonts w:hint="eastAsia"/>
          <w:color w:val="000000"/>
          <w:kern w:val="0"/>
          <w:highlight w:val="none"/>
          <w:lang w:eastAsia="zh-CN"/>
        </w:rPr>
        <w:t>、</w:t>
      </w:r>
      <w:r>
        <w:rPr>
          <w:rFonts w:hint="eastAsia" w:ascii="宋体" w:hAnsi="宋体" w:eastAsia="宋体" w:cs="宋体"/>
          <w:color w:val="000000"/>
          <w:kern w:val="0"/>
          <w:highlight w:val="none"/>
          <w:lang w:val="en-US" w:eastAsia="zh-CN"/>
        </w:rPr>
        <w:t>文明城市评测监控系统</w:t>
      </w:r>
      <w:r>
        <w:rPr>
          <w:rFonts w:hint="eastAsia"/>
          <w:color w:val="000000"/>
          <w:kern w:val="0"/>
          <w:highlight w:val="none"/>
        </w:rPr>
        <w:t>等。</w:t>
      </w:r>
    </w:p>
    <w:p w14:paraId="0722806F">
      <w:pPr>
        <w:autoSpaceDE w:val="0"/>
        <w:autoSpaceDN w:val="0"/>
        <w:adjustRightInd w:val="0"/>
        <w:ind w:firstLine="480"/>
        <w:jc w:val="left"/>
        <w:rPr>
          <w:rFonts w:hint="eastAsia"/>
          <w:color w:val="000000"/>
          <w:kern w:val="0"/>
          <w:highlight w:val="none"/>
        </w:rPr>
      </w:pPr>
      <w:r>
        <w:rPr>
          <w:rFonts w:hint="eastAsia"/>
          <w:color w:val="000000"/>
          <w:kern w:val="0"/>
          <w:highlight w:val="none"/>
        </w:rPr>
        <w:t>（2）本项目所涉及的服务具体内容、提供方式等相关约定见附件。</w:t>
      </w:r>
    </w:p>
    <w:p w14:paraId="39CABCC5">
      <w:pPr>
        <w:autoSpaceDE w:val="0"/>
        <w:autoSpaceDN w:val="0"/>
        <w:adjustRightInd w:val="0"/>
        <w:ind w:firstLine="480"/>
        <w:jc w:val="left"/>
        <w:rPr>
          <w:rFonts w:hint="eastAsia"/>
          <w:color w:val="000000"/>
          <w:kern w:val="0"/>
          <w:highlight w:val="none"/>
        </w:rPr>
      </w:pPr>
      <w:r>
        <w:rPr>
          <w:rFonts w:hint="eastAsia"/>
          <w:color w:val="000000"/>
          <w:kern w:val="0"/>
          <w:highlight w:val="none"/>
        </w:rPr>
        <w:t>3、项目实施期限为</w:t>
      </w:r>
      <w:r>
        <w:rPr>
          <w:rFonts w:hint="eastAsia"/>
          <w:color w:val="000000"/>
          <w:kern w:val="0"/>
          <w:highlight w:val="none"/>
          <w:u w:val="single"/>
        </w:rPr>
        <w:t xml:space="preserve">  </w:t>
      </w:r>
      <w:r>
        <w:rPr>
          <w:rFonts w:hint="eastAsia"/>
          <w:color w:val="000000"/>
          <w:kern w:val="0"/>
          <w:highlight w:val="none"/>
          <w:u w:val="single"/>
          <w:lang w:val="en-US" w:eastAsia="zh-CN"/>
        </w:rPr>
        <w:t xml:space="preserve"> </w:t>
      </w:r>
      <w:r>
        <w:rPr>
          <w:rFonts w:hint="eastAsia"/>
          <w:color w:val="000000"/>
          <w:kern w:val="0"/>
          <w:highlight w:val="none"/>
          <w:u w:val="single"/>
        </w:rPr>
        <w:t xml:space="preserve">   </w:t>
      </w:r>
      <w:r>
        <w:rPr>
          <w:rFonts w:hint="eastAsia"/>
          <w:color w:val="000000"/>
          <w:kern w:val="0"/>
          <w:highlight w:val="none"/>
        </w:rPr>
        <w:t xml:space="preserve">。 </w:t>
      </w:r>
    </w:p>
    <w:p w14:paraId="4459FBDA">
      <w:pPr>
        <w:autoSpaceDE w:val="0"/>
        <w:autoSpaceDN w:val="0"/>
        <w:adjustRightInd w:val="0"/>
        <w:ind w:firstLine="480"/>
        <w:jc w:val="left"/>
        <w:rPr>
          <w:rFonts w:hint="eastAsia"/>
          <w:color w:val="000000"/>
          <w:kern w:val="0"/>
          <w:highlight w:val="none"/>
        </w:rPr>
      </w:pPr>
      <w:r>
        <w:rPr>
          <w:rFonts w:hint="eastAsia"/>
          <w:color w:val="000000"/>
          <w:kern w:val="0"/>
          <w:highlight w:val="none"/>
        </w:rPr>
        <w:t xml:space="preserve">4、质量要求：符合国家相关行业标准及采购人要求。  </w:t>
      </w:r>
    </w:p>
    <w:p w14:paraId="612E575E">
      <w:pPr>
        <w:rPr>
          <w:rFonts w:hint="eastAsia"/>
          <w:b/>
          <w:bCs/>
          <w:sz w:val="22"/>
          <w:szCs w:val="22"/>
          <w:highlight w:val="none"/>
        </w:rPr>
      </w:pPr>
      <w:r>
        <w:rPr>
          <w:rFonts w:hint="eastAsia"/>
          <w:b/>
          <w:bCs/>
          <w:sz w:val="22"/>
          <w:szCs w:val="22"/>
          <w:highlight w:val="none"/>
        </w:rPr>
        <w:t>第二条 合同价款及付款方式</w:t>
      </w:r>
    </w:p>
    <w:p w14:paraId="0A911A02">
      <w:pPr>
        <w:autoSpaceDE w:val="0"/>
        <w:autoSpaceDN w:val="0"/>
        <w:adjustRightInd w:val="0"/>
        <w:ind w:firstLine="480"/>
        <w:jc w:val="left"/>
        <w:rPr>
          <w:rFonts w:hint="eastAsia"/>
          <w:color w:val="000000"/>
          <w:kern w:val="0"/>
          <w:highlight w:val="none"/>
        </w:rPr>
      </w:pPr>
      <w:r>
        <w:rPr>
          <w:rFonts w:hint="eastAsia"/>
          <w:color w:val="000000"/>
          <w:kern w:val="0"/>
          <w:highlight w:val="none"/>
        </w:rPr>
        <w:t>1、合同价款总额为：</w:t>
      </w:r>
    </w:p>
    <w:p w14:paraId="0C84E6DC">
      <w:pPr>
        <w:spacing w:line="420" w:lineRule="exact"/>
        <w:ind w:firstLine="420" w:firstLineChars="200"/>
        <w:rPr>
          <w:rFonts w:hint="eastAsia"/>
          <w:bCs/>
          <w:highlight w:val="none"/>
        </w:rPr>
      </w:pPr>
      <w:bookmarkStart w:id="550" w:name="ZF_"/>
      <w:bookmarkEnd w:id="550"/>
      <w:r>
        <w:rPr>
          <w:rFonts w:hint="eastAsia"/>
          <w:bCs/>
          <w:kern w:val="0"/>
          <w:highlight w:val="none"/>
        </w:rPr>
        <w:t>人民币￥</w:t>
      </w:r>
      <w:r>
        <w:rPr>
          <w:rFonts w:hint="eastAsia"/>
          <w:bCs/>
          <w:kern w:val="0"/>
          <w:highlight w:val="none"/>
          <w:u w:val="single"/>
        </w:rPr>
        <w:t xml:space="preserve">           </w:t>
      </w:r>
      <w:r>
        <w:rPr>
          <w:rFonts w:hint="eastAsia"/>
          <w:bCs/>
          <w:kern w:val="0"/>
          <w:highlight w:val="none"/>
        </w:rPr>
        <w:t>元（大写：</w:t>
      </w:r>
      <w:r>
        <w:rPr>
          <w:rFonts w:hint="eastAsia"/>
          <w:bCs/>
          <w:kern w:val="0"/>
          <w:highlight w:val="none"/>
          <w:u w:val="single"/>
        </w:rPr>
        <w:t xml:space="preserve">                            </w:t>
      </w:r>
      <w:r>
        <w:rPr>
          <w:rFonts w:hint="eastAsia"/>
          <w:bCs/>
          <w:kern w:val="0"/>
          <w:highlight w:val="none"/>
        </w:rPr>
        <w:t>）。</w:t>
      </w:r>
      <w:r>
        <w:rPr>
          <w:rFonts w:hint="eastAsia"/>
          <w:bCs/>
          <w:highlight w:val="none"/>
        </w:rPr>
        <w:t xml:space="preserve">（含税价）为人民币 </w:t>
      </w:r>
      <w:r>
        <w:rPr>
          <w:rFonts w:hint="eastAsia"/>
          <w:bCs/>
          <w:kern w:val="0"/>
          <w:highlight w:val="none"/>
          <w:u w:val="single"/>
        </w:rPr>
        <w:t xml:space="preserve">           </w:t>
      </w:r>
      <w:r>
        <w:rPr>
          <w:rFonts w:hint="eastAsia"/>
          <w:bCs/>
          <w:highlight w:val="none"/>
        </w:rPr>
        <w:t>元，（大写：人民币</w:t>
      </w:r>
      <w:r>
        <w:rPr>
          <w:rFonts w:hint="eastAsia"/>
          <w:bCs/>
          <w:kern w:val="0"/>
          <w:highlight w:val="none"/>
          <w:u w:val="single"/>
        </w:rPr>
        <w:t xml:space="preserve">           </w:t>
      </w:r>
      <w:r>
        <w:rPr>
          <w:rFonts w:hint="eastAsia"/>
          <w:bCs/>
          <w:highlight w:val="none"/>
        </w:rPr>
        <w:t>），本合同适用增值税税率为</w:t>
      </w:r>
      <w:r>
        <w:rPr>
          <w:rFonts w:hint="eastAsia"/>
          <w:bCs/>
          <w:kern w:val="0"/>
          <w:highlight w:val="none"/>
          <w:u w:val="single"/>
        </w:rPr>
        <w:t xml:space="preserve">           </w:t>
      </w:r>
      <w:r>
        <w:rPr>
          <w:rFonts w:hint="eastAsia"/>
          <w:bCs/>
          <w:highlight w:val="none"/>
        </w:rPr>
        <w:t>，不含增值税的价款为人民币</w:t>
      </w:r>
      <w:r>
        <w:rPr>
          <w:rFonts w:hint="eastAsia"/>
          <w:bCs/>
          <w:kern w:val="0"/>
          <w:highlight w:val="none"/>
          <w:u w:val="single"/>
        </w:rPr>
        <w:t xml:space="preserve">           </w:t>
      </w:r>
      <w:r>
        <w:rPr>
          <w:rFonts w:hint="eastAsia"/>
          <w:bCs/>
          <w:highlight w:val="none"/>
        </w:rPr>
        <w:t>元（大写：人民币</w:t>
      </w:r>
      <w:r>
        <w:rPr>
          <w:rFonts w:hint="eastAsia"/>
          <w:bCs/>
          <w:kern w:val="0"/>
          <w:highlight w:val="none"/>
          <w:u w:val="single"/>
        </w:rPr>
        <w:t xml:space="preserve">           </w:t>
      </w:r>
      <w:r>
        <w:rPr>
          <w:rFonts w:hint="eastAsia"/>
          <w:bCs/>
          <w:highlight w:val="none"/>
        </w:rPr>
        <w:t>），增值税税款为人民币</w:t>
      </w:r>
      <w:r>
        <w:rPr>
          <w:rFonts w:hint="eastAsia"/>
          <w:bCs/>
          <w:kern w:val="0"/>
          <w:highlight w:val="none"/>
          <w:u w:val="single"/>
        </w:rPr>
        <w:t xml:space="preserve">           </w:t>
      </w:r>
      <w:r>
        <w:rPr>
          <w:rFonts w:hint="eastAsia"/>
          <w:bCs/>
          <w:highlight w:val="none"/>
        </w:rPr>
        <w:t>元（大写：人民币</w:t>
      </w:r>
      <w:r>
        <w:rPr>
          <w:rFonts w:hint="eastAsia"/>
          <w:bCs/>
          <w:kern w:val="0"/>
          <w:highlight w:val="none"/>
          <w:u w:val="single"/>
        </w:rPr>
        <w:t xml:space="preserve">           </w:t>
      </w:r>
      <w:r>
        <w:rPr>
          <w:rFonts w:hint="eastAsia"/>
          <w:bCs/>
          <w:highlight w:val="none"/>
        </w:rPr>
        <w:t>）。</w:t>
      </w:r>
    </w:p>
    <w:p w14:paraId="519B5BF9">
      <w:pPr>
        <w:autoSpaceDE w:val="0"/>
        <w:autoSpaceDN w:val="0"/>
        <w:adjustRightInd w:val="0"/>
        <w:ind w:firstLine="480"/>
        <w:jc w:val="left"/>
        <w:rPr>
          <w:rFonts w:hint="eastAsia"/>
          <w:kern w:val="0"/>
          <w:highlight w:val="none"/>
        </w:rPr>
      </w:pPr>
      <w:r>
        <w:rPr>
          <w:rFonts w:hint="eastAsia"/>
          <w:kern w:val="0"/>
          <w:highlight w:val="none"/>
        </w:rPr>
        <w:t>2、付款方式：</w:t>
      </w:r>
    </w:p>
    <w:p w14:paraId="03A76112">
      <w:pPr>
        <w:autoSpaceDE w:val="0"/>
        <w:autoSpaceDN w:val="0"/>
        <w:adjustRightInd w:val="0"/>
        <w:ind w:firstLine="480"/>
        <w:rPr>
          <w:rFonts w:hint="eastAsia"/>
          <w:kern w:val="0"/>
          <w:highlight w:val="none"/>
        </w:rPr>
      </w:pPr>
      <w:r>
        <w:rPr>
          <w:rFonts w:hint="eastAsia"/>
          <w:kern w:val="0"/>
          <w:highlight w:val="none"/>
        </w:rPr>
        <w:t>本项目价款采用以下第</w:t>
      </w:r>
      <w:r>
        <w:rPr>
          <w:rFonts w:hint="eastAsia"/>
          <w:kern w:val="0"/>
          <w:highlight w:val="none"/>
          <w:u w:val="single"/>
        </w:rPr>
        <w:t xml:space="preserve"> </w:t>
      </w:r>
      <w:r>
        <w:rPr>
          <w:rFonts w:hint="eastAsia"/>
          <w:kern w:val="0"/>
          <w:highlight w:val="none"/>
          <w:u w:val="single"/>
          <w:lang w:val="en-US" w:eastAsia="zh-CN"/>
        </w:rPr>
        <w:t>1</w:t>
      </w:r>
      <w:r>
        <w:rPr>
          <w:rFonts w:hint="eastAsia"/>
          <w:kern w:val="0"/>
          <w:highlight w:val="none"/>
          <w:u w:val="single"/>
        </w:rPr>
        <w:t xml:space="preserve">  </w:t>
      </w:r>
      <w:r>
        <w:rPr>
          <w:rFonts w:hint="eastAsia"/>
          <w:kern w:val="0"/>
          <w:highlight w:val="none"/>
        </w:rPr>
        <w:t>种方式支付，以人民币结算：</w:t>
      </w:r>
    </w:p>
    <w:p w14:paraId="1B7242B0">
      <w:pPr>
        <w:numPr>
          <w:ilvl w:val="0"/>
          <w:numId w:val="0"/>
        </w:numPr>
        <w:spacing w:line="420" w:lineRule="exact"/>
        <w:ind w:firstLine="420" w:firstLineChars="200"/>
        <w:rPr>
          <w:rFonts w:hint="eastAsia"/>
          <w:highlight w:val="none"/>
        </w:rPr>
      </w:pPr>
      <w:r>
        <w:rPr>
          <w:rFonts w:hint="eastAsia"/>
          <w:kern w:val="0"/>
          <w:highlight w:val="none"/>
        </w:rPr>
        <w:t>1、一次性支付。本项目竣工验收合格后</w:t>
      </w:r>
      <w:r>
        <w:rPr>
          <w:rFonts w:hint="eastAsia"/>
          <w:kern w:val="0"/>
          <w:highlight w:val="none"/>
          <w:lang w:eastAsia="zh-CN"/>
        </w:rPr>
        <w:t>，待县财政部门将项目款拨付至甲方账户之日起</w:t>
      </w:r>
      <w:r>
        <w:rPr>
          <w:rFonts w:hint="eastAsia"/>
          <w:kern w:val="0"/>
          <w:highlight w:val="none"/>
          <w:lang w:val="en-US" w:eastAsia="zh-CN"/>
        </w:rPr>
        <w:t xml:space="preserve"> </w:t>
      </w:r>
      <w:r>
        <w:rPr>
          <w:rFonts w:hint="eastAsia"/>
          <w:kern w:val="0"/>
          <w:highlight w:val="none"/>
          <w:u w:val="single"/>
          <w:lang w:val="en-US" w:eastAsia="zh-CN"/>
        </w:rPr>
        <w:t xml:space="preserve">  30  </w:t>
      </w:r>
      <w:r>
        <w:rPr>
          <w:rFonts w:hint="eastAsia"/>
          <w:kern w:val="0"/>
          <w:highlight w:val="none"/>
          <w:lang w:val="en-US" w:eastAsia="zh-CN"/>
        </w:rPr>
        <w:t>个</w:t>
      </w:r>
      <w:r>
        <w:rPr>
          <w:rFonts w:hint="eastAsia"/>
          <w:kern w:val="0"/>
          <w:highlight w:val="none"/>
        </w:rPr>
        <w:t>工作日内向乙方付清项目价款共计￥</w:t>
      </w:r>
      <w:r>
        <w:rPr>
          <w:rFonts w:hint="eastAsia"/>
          <w:kern w:val="0"/>
          <w:highlight w:val="none"/>
          <w:u w:val="single"/>
        </w:rPr>
        <w:t xml:space="preserve">         </w:t>
      </w:r>
      <w:r>
        <w:rPr>
          <w:rFonts w:hint="eastAsia"/>
          <w:kern w:val="0"/>
          <w:highlight w:val="none"/>
        </w:rPr>
        <w:t>元（大写：</w:t>
      </w:r>
      <w:r>
        <w:rPr>
          <w:rFonts w:hint="eastAsia"/>
          <w:kern w:val="0"/>
          <w:highlight w:val="none"/>
          <w:u w:val="single"/>
        </w:rPr>
        <w:t xml:space="preserve">                </w:t>
      </w:r>
      <w:r>
        <w:rPr>
          <w:rFonts w:hint="eastAsia"/>
          <w:kern w:val="0"/>
          <w:highlight w:val="none"/>
        </w:rPr>
        <w:t>）。</w:t>
      </w:r>
      <w:r>
        <w:rPr>
          <w:rFonts w:hint="eastAsia"/>
          <w:highlight w:val="none"/>
        </w:rPr>
        <w:t>（含税价）为人民币</w:t>
      </w:r>
      <w:r>
        <w:rPr>
          <w:rFonts w:hint="eastAsia"/>
          <w:kern w:val="0"/>
          <w:highlight w:val="none"/>
          <w:u w:val="single"/>
        </w:rPr>
        <w:t xml:space="preserve">       </w:t>
      </w:r>
      <w:r>
        <w:rPr>
          <w:rFonts w:hint="eastAsia"/>
          <w:highlight w:val="none"/>
        </w:rPr>
        <w:t>元，（大写：人民币</w:t>
      </w:r>
      <w:r>
        <w:rPr>
          <w:rFonts w:hint="eastAsia"/>
          <w:kern w:val="0"/>
          <w:highlight w:val="none"/>
          <w:u w:val="single"/>
        </w:rPr>
        <w:t xml:space="preserve">       </w:t>
      </w:r>
      <w:r>
        <w:rPr>
          <w:rFonts w:hint="eastAsia"/>
          <w:highlight w:val="none"/>
        </w:rPr>
        <w:t>），本合同适用增值税税率为</w:t>
      </w:r>
      <w:r>
        <w:rPr>
          <w:rFonts w:hint="eastAsia"/>
          <w:kern w:val="0"/>
          <w:highlight w:val="none"/>
          <w:u w:val="single"/>
        </w:rPr>
        <w:t xml:space="preserve">       </w:t>
      </w:r>
      <w:r>
        <w:rPr>
          <w:rFonts w:hint="eastAsia"/>
          <w:highlight w:val="none"/>
        </w:rPr>
        <w:t>，不含增值税的价款为人民币</w:t>
      </w:r>
      <w:r>
        <w:rPr>
          <w:rFonts w:hint="eastAsia"/>
          <w:kern w:val="0"/>
          <w:highlight w:val="none"/>
          <w:u w:val="single"/>
        </w:rPr>
        <w:t xml:space="preserve">       </w:t>
      </w:r>
      <w:r>
        <w:rPr>
          <w:rFonts w:hint="eastAsia"/>
          <w:highlight w:val="none"/>
        </w:rPr>
        <w:t>元（大写：人民币</w:t>
      </w:r>
      <w:r>
        <w:rPr>
          <w:rFonts w:hint="eastAsia"/>
          <w:kern w:val="0"/>
          <w:highlight w:val="none"/>
          <w:u w:val="single"/>
        </w:rPr>
        <w:t xml:space="preserve">       </w:t>
      </w:r>
      <w:r>
        <w:rPr>
          <w:rFonts w:hint="eastAsia"/>
          <w:highlight w:val="none"/>
        </w:rPr>
        <w:t>），增值税税款为人民币</w:t>
      </w:r>
      <w:r>
        <w:rPr>
          <w:rFonts w:hint="eastAsia"/>
          <w:kern w:val="0"/>
          <w:highlight w:val="none"/>
          <w:u w:val="single"/>
        </w:rPr>
        <w:t xml:space="preserve">       </w:t>
      </w:r>
      <w:r>
        <w:rPr>
          <w:rFonts w:hint="eastAsia"/>
          <w:highlight w:val="none"/>
        </w:rPr>
        <w:t>元（大写：人民币</w:t>
      </w:r>
      <w:r>
        <w:rPr>
          <w:rFonts w:hint="eastAsia"/>
          <w:kern w:val="0"/>
          <w:highlight w:val="none"/>
          <w:u w:val="single"/>
        </w:rPr>
        <w:t xml:space="preserve">       </w:t>
      </w:r>
      <w:r>
        <w:rPr>
          <w:rFonts w:hint="eastAsia"/>
          <w:highlight w:val="none"/>
        </w:rPr>
        <w:t>）。</w:t>
      </w:r>
      <w:r>
        <w:rPr>
          <w:rFonts w:hint="eastAsia" w:ascii="宋体" w:hAnsi="宋体" w:eastAsia="宋体" w:cs="宋体"/>
          <w:kern w:val="0"/>
          <w:sz w:val="21"/>
          <w:szCs w:val="21"/>
          <w:highlight w:val="none"/>
          <w:lang w:val="en-US" w:eastAsia="zh-CN" w:bidi="ar-SA"/>
        </w:rPr>
        <w:t>本项目质保期为</w:t>
      </w:r>
      <w:r>
        <w:rPr>
          <w:rFonts w:hint="eastAsia" w:ascii="宋体" w:hAnsi="宋体" w:eastAsia="宋体" w:cs="宋体"/>
          <w:kern w:val="0"/>
          <w:sz w:val="21"/>
          <w:szCs w:val="21"/>
          <w:highlight w:val="none"/>
          <w:u w:val="single"/>
          <w:lang w:val="en-US" w:eastAsia="zh-CN" w:bidi="ar-SA"/>
        </w:rPr>
        <w:t xml:space="preserve">  </w:t>
      </w:r>
      <w:r>
        <w:rPr>
          <w:rFonts w:hint="eastAsia" w:cs="宋体"/>
          <w:kern w:val="0"/>
          <w:sz w:val="21"/>
          <w:szCs w:val="21"/>
          <w:highlight w:val="none"/>
          <w:u w:val="single"/>
          <w:lang w:val="en-US" w:eastAsia="zh-CN" w:bidi="ar-SA"/>
        </w:rPr>
        <w:t>1</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年，自竣工验收合格之日起计算。</w:t>
      </w:r>
    </w:p>
    <w:p w14:paraId="32D6750B">
      <w:pPr>
        <w:autoSpaceDE w:val="0"/>
        <w:autoSpaceDN w:val="0"/>
        <w:adjustRightInd w:val="0"/>
        <w:ind w:firstLine="480"/>
        <w:rPr>
          <w:rFonts w:hint="eastAsia"/>
          <w:kern w:val="0"/>
          <w:highlight w:val="none"/>
        </w:rPr>
      </w:pPr>
      <w:r>
        <w:rPr>
          <w:rFonts w:hint="eastAsia"/>
          <w:kern w:val="0"/>
          <w:highlight w:val="none"/>
        </w:rPr>
        <w:t>2、分期支付，支付期限及额度如下：</w:t>
      </w:r>
    </w:p>
    <w:p w14:paraId="27BD1012">
      <w:pPr>
        <w:spacing w:line="420" w:lineRule="exact"/>
        <w:ind w:firstLine="420" w:firstLineChars="200"/>
        <w:rPr>
          <w:rFonts w:hint="eastAsia"/>
          <w:highlight w:val="none"/>
        </w:rPr>
      </w:pPr>
      <w:r>
        <w:rPr>
          <w:rFonts w:hint="eastAsia"/>
          <w:kern w:val="0"/>
          <w:highlight w:val="none"/>
        </w:rPr>
        <w:t>（1）预付款。本合同生效后</w:t>
      </w:r>
      <w:r>
        <w:rPr>
          <w:rFonts w:hint="eastAsia"/>
          <w:kern w:val="0"/>
          <w:highlight w:val="none"/>
          <w:u w:val="single"/>
        </w:rPr>
        <w:t xml:space="preserve"> </w:t>
      </w:r>
      <w:r>
        <w:rPr>
          <w:rFonts w:hint="eastAsia"/>
          <w:kern w:val="0"/>
          <w:highlight w:val="none"/>
          <w:u w:val="single"/>
          <w:lang w:val="en-US" w:eastAsia="zh-CN"/>
        </w:rPr>
        <w:t xml:space="preserve">  </w:t>
      </w:r>
      <w:r>
        <w:rPr>
          <w:rFonts w:hint="eastAsia"/>
          <w:kern w:val="0"/>
          <w:highlight w:val="none"/>
          <w:u w:val="single"/>
        </w:rPr>
        <w:t xml:space="preserve"> </w:t>
      </w:r>
      <w:r>
        <w:rPr>
          <w:rFonts w:hint="eastAsia"/>
          <w:kern w:val="0"/>
          <w:highlight w:val="none"/>
        </w:rPr>
        <w:t>个工作日内，甲方预付项目费用总额的</w:t>
      </w:r>
      <w:r>
        <w:rPr>
          <w:rFonts w:hint="eastAsia"/>
          <w:kern w:val="0"/>
          <w:highlight w:val="none"/>
          <w:u w:val="single"/>
        </w:rPr>
        <w:t xml:space="preserve">   </w:t>
      </w:r>
      <w:r>
        <w:rPr>
          <w:rFonts w:hint="eastAsia"/>
          <w:kern w:val="0"/>
          <w:highlight w:val="none"/>
        </w:rPr>
        <w:t>％，即￥</w:t>
      </w:r>
      <w:r>
        <w:rPr>
          <w:rFonts w:hint="eastAsia"/>
          <w:kern w:val="0"/>
          <w:highlight w:val="none"/>
          <w:u w:val="single"/>
        </w:rPr>
        <w:t xml:space="preserve">         </w:t>
      </w:r>
      <w:r>
        <w:rPr>
          <w:rFonts w:hint="eastAsia"/>
          <w:kern w:val="0"/>
          <w:highlight w:val="none"/>
        </w:rPr>
        <w:t>元（大写：</w:t>
      </w:r>
      <w:r>
        <w:rPr>
          <w:rFonts w:hint="eastAsia"/>
          <w:kern w:val="0"/>
          <w:highlight w:val="none"/>
          <w:u w:val="single"/>
        </w:rPr>
        <w:t xml:space="preserve">                </w:t>
      </w:r>
      <w:r>
        <w:rPr>
          <w:rFonts w:hint="eastAsia"/>
          <w:kern w:val="0"/>
          <w:highlight w:val="none"/>
        </w:rPr>
        <w:t>）。</w:t>
      </w:r>
      <w:r>
        <w:rPr>
          <w:rFonts w:hint="eastAsia"/>
          <w:highlight w:val="none"/>
        </w:rPr>
        <w:t>（含税价）为人民币</w:t>
      </w:r>
      <w:r>
        <w:rPr>
          <w:rFonts w:hint="eastAsia"/>
          <w:kern w:val="0"/>
          <w:highlight w:val="none"/>
          <w:u w:val="single"/>
        </w:rPr>
        <w:t xml:space="preserve">      </w:t>
      </w:r>
      <w:r>
        <w:rPr>
          <w:rFonts w:hint="eastAsia"/>
          <w:highlight w:val="none"/>
        </w:rPr>
        <w:t>元，（大写：人民币</w:t>
      </w:r>
      <w:r>
        <w:rPr>
          <w:rFonts w:hint="eastAsia"/>
          <w:kern w:val="0"/>
          <w:highlight w:val="none"/>
          <w:u w:val="single"/>
        </w:rPr>
        <w:t xml:space="preserve">      </w:t>
      </w:r>
      <w:r>
        <w:rPr>
          <w:rFonts w:hint="eastAsia"/>
          <w:highlight w:val="none"/>
        </w:rPr>
        <w:t>），本合同适用增值税税率为</w:t>
      </w:r>
      <w:r>
        <w:rPr>
          <w:rFonts w:hint="eastAsia"/>
          <w:kern w:val="0"/>
          <w:highlight w:val="none"/>
          <w:u w:val="single"/>
        </w:rPr>
        <w:t xml:space="preserve">      </w:t>
      </w:r>
      <w:r>
        <w:rPr>
          <w:rFonts w:hint="eastAsia"/>
          <w:highlight w:val="none"/>
        </w:rPr>
        <w:t>，不含增值税的价款为人民币</w:t>
      </w:r>
      <w:r>
        <w:rPr>
          <w:rFonts w:hint="eastAsia"/>
          <w:kern w:val="0"/>
          <w:highlight w:val="none"/>
          <w:u w:val="single"/>
        </w:rPr>
        <w:t xml:space="preserve">      </w:t>
      </w:r>
      <w:r>
        <w:rPr>
          <w:rFonts w:hint="eastAsia"/>
          <w:highlight w:val="none"/>
        </w:rPr>
        <w:t>元（大写：人民币</w:t>
      </w:r>
      <w:r>
        <w:rPr>
          <w:rFonts w:hint="eastAsia"/>
          <w:kern w:val="0"/>
          <w:highlight w:val="none"/>
          <w:u w:val="single"/>
        </w:rPr>
        <w:t xml:space="preserve">      </w:t>
      </w:r>
      <w:r>
        <w:rPr>
          <w:rFonts w:hint="eastAsia"/>
          <w:highlight w:val="none"/>
        </w:rPr>
        <w:t>），增值税税款为人民币</w:t>
      </w:r>
      <w:r>
        <w:rPr>
          <w:rFonts w:hint="eastAsia"/>
          <w:kern w:val="0"/>
          <w:highlight w:val="none"/>
          <w:u w:val="single"/>
        </w:rPr>
        <w:t xml:space="preserve">      </w:t>
      </w:r>
      <w:r>
        <w:rPr>
          <w:rFonts w:hint="eastAsia"/>
          <w:highlight w:val="none"/>
        </w:rPr>
        <w:t>元（大写：人民币</w:t>
      </w:r>
      <w:r>
        <w:rPr>
          <w:rFonts w:hint="eastAsia"/>
          <w:kern w:val="0"/>
          <w:highlight w:val="none"/>
          <w:u w:val="single"/>
        </w:rPr>
        <w:t xml:space="preserve">      </w:t>
      </w:r>
      <w:r>
        <w:rPr>
          <w:rFonts w:hint="eastAsia"/>
          <w:highlight w:val="none"/>
        </w:rPr>
        <w:t>）。</w:t>
      </w:r>
    </w:p>
    <w:p w14:paraId="0C36BD2C">
      <w:pPr>
        <w:autoSpaceDE w:val="0"/>
        <w:autoSpaceDN w:val="0"/>
        <w:adjustRightInd w:val="0"/>
        <w:ind w:firstLine="480"/>
        <w:rPr>
          <w:rFonts w:hint="eastAsia"/>
          <w:kern w:val="0"/>
          <w:highlight w:val="none"/>
        </w:rPr>
      </w:pPr>
      <w:r>
        <w:rPr>
          <w:rFonts w:hint="eastAsia"/>
          <w:kern w:val="0"/>
          <w:highlight w:val="none"/>
        </w:rPr>
        <w:t>（2）进度款。甲方应当按照下列第</w:t>
      </w:r>
      <w:r>
        <w:rPr>
          <w:rFonts w:hint="eastAsia"/>
          <w:kern w:val="0"/>
          <w:highlight w:val="none"/>
          <w:u w:val="single"/>
        </w:rPr>
        <w:t xml:space="preserve">    </w:t>
      </w:r>
      <w:r>
        <w:rPr>
          <w:rFonts w:hint="eastAsia"/>
          <w:kern w:val="0"/>
          <w:highlight w:val="none"/>
        </w:rPr>
        <w:t>种方式支付进度款：</w:t>
      </w:r>
    </w:p>
    <w:p w14:paraId="10B78BD8">
      <w:pPr>
        <w:autoSpaceDE w:val="0"/>
        <w:autoSpaceDN w:val="0"/>
        <w:adjustRightInd w:val="0"/>
        <w:ind w:firstLine="480"/>
        <w:rPr>
          <w:rFonts w:hint="eastAsia"/>
          <w:kern w:val="0"/>
          <w:highlight w:val="none"/>
        </w:rPr>
      </w:pPr>
      <w:r>
        <w:rPr>
          <w:rFonts w:hint="eastAsia"/>
          <w:kern w:val="0"/>
          <w:highlight w:val="none"/>
        </w:rPr>
        <w:t>①乙方按照本合同约定完成阶段性工作后，甲方应于每一阶段性工作成果验收合格</w:t>
      </w:r>
      <w:r>
        <w:rPr>
          <w:rFonts w:hint="eastAsia"/>
          <w:kern w:val="0"/>
          <w:highlight w:val="none"/>
          <w:lang w:eastAsia="zh-CN"/>
        </w:rPr>
        <w:t>后，待县财政部门将项目款拨付至甲方账户之日起</w:t>
      </w:r>
      <w:r>
        <w:rPr>
          <w:rFonts w:hint="eastAsia"/>
          <w:kern w:val="0"/>
          <w:highlight w:val="none"/>
          <w:u w:val="single"/>
          <w:lang w:val="en-US" w:eastAsia="zh-CN"/>
        </w:rPr>
        <w:t xml:space="preserve">     </w:t>
      </w:r>
      <w:r>
        <w:rPr>
          <w:rFonts w:hint="eastAsia"/>
          <w:kern w:val="0"/>
          <w:highlight w:val="none"/>
        </w:rPr>
        <w:t>个工作日内，向乙方支付相应的费用；</w:t>
      </w:r>
    </w:p>
    <w:p w14:paraId="40C456AB">
      <w:pPr>
        <w:spacing w:line="420" w:lineRule="exact"/>
        <w:ind w:firstLine="420" w:firstLineChars="200"/>
        <w:rPr>
          <w:rFonts w:hint="eastAsia"/>
          <w:highlight w:val="none"/>
        </w:rPr>
      </w:pPr>
      <w:r>
        <w:rPr>
          <w:rFonts w:hint="eastAsia"/>
          <w:kern w:val="0"/>
          <w:highlight w:val="none"/>
        </w:rPr>
        <w:t>②乙方完成</w:t>
      </w:r>
      <w:r>
        <w:rPr>
          <w:rFonts w:hint="eastAsia"/>
          <w:kern w:val="0"/>
          <w:highlight w:val="none"/>
          <w:u w:val="single"/>
        </w:rPr>
        <w:t xml:space="preserve">                            </w:t>
      </w:r>
      <w:r>
        <w:rPr>
          <w:rFonts w:hint="eastAsia"/>
          <w:kern w:val="0"/>
          <w:highlight w:val="none"/>
        </w:rPr>
        <w:t>，甲方支付项目费用总额的</w:t>
      </w:r>
      <w:r>
        <w:rPr>
          <w:rFonts w:hint="eastAsia"/>
          <w:kern w:val="0"/>
          <w:highlight w:val="none"/>
          <w:u w:val="single"/>
        </w:rPr>
        <w:t xml:space="preserve">   </w:t>
      </w:r>
      <w:r>
        <w:rPr>
          <w:rFonts w:hint="eastAsia"/>
          <w:kern w:val="0"/>
          <w:highlight w:val="none"/>
        </w:rPr>
        <w:t>％，即￥</w:t>
      </w:r>
      <w:r>
        <w:rPr>
          <w:rFonts w:hint="eastAsia"/>
          <w:kern w:val="0"/>
          <w:highlight w:val="none"/>
          <w:u w:val="single"/>
        </w:rPr>
        <w:t xml:space="preserve">         </w:t>
      </w:r>
      <w:r>
        <w:rPr>
          <w:rFonts w:hint="eastAsia"/>
          <w:kern w:val="0"/>
          <w:highlight w:val="none"/>
        </w:rPr>
        <w:t>元（大写：</w:t>
      </w:r>
      <w:r>
        <w:rPr>
          <w:rFonts w:hint="eastAsia"/>
          <w:kern w:val="0"/>
          <w:highlight w:val="none"/>
          <w:u w:val="single"/>
        </w:rPr>
        <w:t xml:space="preserve">                </w:t>
      </w:r>
      <w:r>
        <w:rPr>
          <w:rFonts w:hint="eastAsia"/>
          <w:kern w:val="0"/>
          <w:highlight w:val="none"/>
        </w:rPr>
        <w:t>）。</w:t>
      </w:r>
      <w:r>
        <w:rPr>
          <w:rFonts w:hint="eastAsia"/>
          <w:highlight w:val="none"/>
        </w:rPr>
        <w:t>（含税价）为人民币</w:t>
      </w:r>
      <w:r>
        <w:rPr>
          <w:rFonts w:hint="eastAsia"/>
          <w:kern w:val="0"/>
          <w:highlight w:val="none"/>
          <w:u w:val="single"/>
        </w:rPr>
        <w:t xml:space="preserve">      </w:t>
      </w:r>
      <w:r>
        <w:rPr>
          <w:rFonts w:hint="eastAsia"/>
          <w:highlight w:val="none"/>
        </w:rPr>
        <w:t>元，（大写：人民币</w:t>
      </w:r>
      <w:r>
        <w:rPr>
          <w:rFonts w:hint="eastAsia"/>
          <w:kern w:val="0"/>
          <w:highlight w:val="none"/>
          <w:u w:val="single"/>
        </w:rPr>
        <w:t xml:space="preserve">      </w:t>
      </w:r>
      <w:r>
        <w:rPr>
          <w:rFonts w:hint="eastAsia"/>
          <w:highlight w:val="none"/>
        </w:rPr>
        <w:t>），本合同适用增值税税率为</w:t>
      </w:r>
      <w:r>
        <w:rPr>
          <w:rFonts w:hint="eastAsia"/>
          <w:kern w:val="0"/>
          <w:highlight w:val="none"/>
          <w:u w:val="single"/>
        </w:rPr>
        <w:t xml:space="preserve">      </w:t>
      </w:r>
      <w:r>
        <w:rPr>
          <w:rFonts w:hint="eastAsia"/>
          <w:highlight w:val="none"/>
        </w:rPr>
        <w:t>，不含增值税的价款为人民币</w:t>
      </w:r>
      <w:r>
        <w:rPr>
          <w:rFonts w:hint="eastAsia"/>
          <w:kern w:val="0"/>
          <w:highlight w:val="none"/>
          <w:u w:val="single"/>
        </w:rPr>
        <w:t xml:space="preserve">      </w:t>
      </w:r>
      <w:r>
        <w:rPr>
          <w:rFonts w:hint="eastAsia"/>
          <w:highlight w:val="none"/>
        </w:rPr>
        <w:t>元（大写：人民币</w:t>
      </w:r>
      <w:r>
        <w:rPr>
          <w:rFonts w:hint="eastAsia"/>
          <w:kern w:val="0"/>
          <w:highlight w:val="none"/>
          <w:u w:val="single"/>
        </w:rPr>
        <w:t xml:space="preserve">      </w:t>
      </w:r>
      <w:r>
        <w:rPr>
          <w:rFonts w:hint="eastAsia"/>
          <w:highlight w:val="none"/>
        </w:rPr>
        <w:t>），增值税税款为人民币</w:t>
      </w:r>
      <w:r>
        <w:rPr>
          <w:rFonts w:hint="eastAsia"/>
          <w:kern w:val="0"/>
          <w:highlight w:val="none"/>
          <w:u w:val="single"/>
        </w:rPr>
        <w:t xml:space="preserve">      </w:t>
      </w:r>
      <w:r>
        <w:rPr>
          <w:rFonts w:hint="eastAsia"/>
          <w:highlight w:val="none"/>
        </w:rPr>
        <w:t xml:space="preserve">元（大写：人民币 </w:t>
      </w:r>
      <w:r>
        <w:rPr>
          <w:rFonts w:hint="eastAsia"/>
          <w:kern w:val="0"/>
          <w:highlight w:val="none"/>
          <w:u w:val="single"/>
        </w:rPr>
        <w:t xml:space="preserve">      </w:t>
      </w:r>
      <w:r>
        <w:rPr>
          <w:rFonts w:hint="eastAsia"/>
          <w:highlight w:val="none"/>
        </w:rPr>
        <w:t>）。</w:t>
      </w:r>
    </w:p>
    <w:p w14:paraId="5D804B05">
      <w:pPr>
        <w:numPr>
          <w:ilvl w:val="0"/>
          <w:numId w:val="9"/>
        </w:numPr>
        <w:spacing w:line="420" w:lineRule="exact"/>
        <w:ind w:firstLine="420" w:firstLineChars="200"/>
        <w:rPr>
          <w:rFonts w:hint="eastAsia"/>
          <w:kern w:val="0"/>
          <w:highlight w:val="none"/>
          <w:lang w:val="en-US" w:eastAsia="zh-CN"/>
        </w:rPr>
      </w:pPr>
      <w:r>
        <w:rPr>
          <w:rFonts w:hint="eastAsia"/>
          <w:kern w:val="0"/>
          <w:highlight w:val="none"/>
        </w:rPr>
        <w:t>结算款：本项目竣工验收合格后</w:t>
      </w:r>
      <w:r>
        <w:rPr>
          <w:rFonts w:hint="eastAsia"/>
          <w:kern w:val="0"/>
          <w:highlight w:val="none"/>
          <w:lang w:eastAsia="zh-CN"/>
        </w:rPr>
        <w:t>，待县财政部门将项目款拨付至甲方账户之日起</w:t>
      </w:r>
      <w:r>
        <w:rPr>
          <w:rFonts w:hint="eastAsia"/>
          <w:kern w:val="0"/>
          <w:highlight w:val="none"/>
          <w:lang w:val="en-US" w:eastAsia="zh-CN"/>
        </w:rPr>
        <w:t xml:space="preserve"> </w:t>
      </w:r>
    </w:p>
    <w:p w14:paraId="70F1E3D7">
      <w:pPr>
        <w:numPr>
          <w:ilvl w:val="0"/>
          <w:numId w:val="0"/>
        </w:numPr>
        <w:spacing w:line="420" w:lineRule="exact"/>
        <w:rPr>
          <w:rFonts w:hint="eastAsia"/>
          <w:highlight w:val="none"/>
        </w:rPr>
      </w:pPr>
      <w:r>
        <w:rPr>
          <w:rFonts w:hint="eastAsia"/>
          <w:kern w:val="0"/>
          <w:highlight w:val="none"/>
          <w:u w:val="single"/>
          <w:lang w:val="en-US" w:eastAsia="zh-CN"/>
        </w:rPr>
        <w:t xml:space="preserve">       </w:t>
      </w:r>
      <w:r>
        <w:rPr>
          <w:rFonts w:hint="eastAsia"/>
          <w:kern w:val="0"/>
          <w:highlight w:val="none"/>
          <w:lang w:val="en-US" w:eastAsia="zh-CN"/>
        </w:rPr>
        <w:t>个</w:t>
      </w:r>
      <w:r>
        <w:rPr>
          <w:rFonts w:hint="eastAsia"/>
          <w:kern w:val="0"/>
          <w:highlight w:val="none"/>
        </w:rPr>
        <w:t>工作日内，甲方向乙方支付剩余价款￥</w:t>
      </w:r>
      <w:r>
        <w:rPr>
          <w:rFonts w:hint="eastAsia"/>
          <w:kern w:val="0"/>
          <w:highlight w:val="none"/>
          <w:u w:val="single"/>
        </w:rPr>
        <w:t xml:space="preserve">         </w:t>
      </w:r>
      <w:r>
        <w:rPr>
          <w:rFonts w:hint="eastAsia"/>
          <w:kern w:val="0"/>
          <w:highlight w:val="none"/>
        </w:rPr>
        <w:t>元（大写：</w:t>
      </w:r>
      <w:r>
        <w:rPr>
          <w:rFonts w:hint="eastAsia"/>
          <w:kern w:val="0"/>
          <w:highlight w:val="none"/>
          <w:u w:val="single"/>
        </w:rPr>
        <w:t xml:space="preserve">                </w:t>
      </w:r>
      <w:r>
        <w:rPr>
          <w:rFonts w:hint="eastAsia"/>
          <w:kern w:val="0"/>
          <w:highlight w:val="none"/>
        </w:rPr>
        <w:t>）。</w:t>
      </w:r>
      <w:r>
        <w:rPr>
          <w:rFonts w:hint="eastAsia"/>
          <w:highlight w:val="none"/>
        </w:rPr>
        <w:t xml:space="preserve">（含税价）为人民币 </w:t>
      </w:r>
      <w:r>
        <w:rPr>
          <w:rFonts w:hint="eastAsia"/>
          <w:kern w:val="0"/>
          <w:highlight w:val="none"/>
          <w:u w:val="single"/>
        </w:rPr>
        <w:t xml:space="preserve">      </w:t>
      </w:r>
      <w:r>
        <w:rPr>
          <w:rFonts w:hint="eastAsia"/>
          <w:highlight w:val="none"/>
        </w:rPr>
        <w:t>元，（大写：人民币</w:t>
      </w:r>
      <w:r>
        <w:rPr>
          <w:rFonts w:hint="eastAsia"/>
          <w:kern w:val="0"/>
          <w:highlight w:val="none"/>
          <w:u w:val="single"/>
        </w:rPr>
        <w:t xml:space="preserve">      </w:t>
      </w:r>
      <w:r>
        <w:rPr>
          <w:rFonts w:hint="eastAsia"/>
          <w:highlight w:val="none"/>
        </w:rPr>
        <w:t>），本合同适用增值税税率为</w:t>
      </w:r>
      <w:r>
        <w:rPr>
          <w:rFonts w:hint="eastAsia"/>
          <w:kern w:val="0"/>
          <w:highlight w:val="none"/>
          <w:u w:val="single"/>
        </w:rPr>
        <w:t xml:space="preserve">      </w:t>
      </w:r>
      <w:r>
        <w:rPr>
          <w:rFonts w:hint="eastAsia"/>
          <w:highlight w:val="none"/>
        </w:rPr>
        <w:t>，不含增值税的价款为人民币</w:t>
      </w:r>
      <w:r>
        <w:rPr>
          <w:rFonts w:hint="eastAsia"/>
          <w:kern w:val="0"/>
          <w:highlight w:val="none"/>
          <w:u w:val="single"/>
        </w:rPr>
        <w:t xml:space="preserve">      </w:t>
      </w:r>
      <w:r>
        <w:rPr>
          <w:rFonts w:hint="eastAsia"/>
          <w:highlight w:val="none"/>
        </w:rPr>
        <w:t>元（大写：人民币</w:t>
      </w:r>
      <w:r>
        <w:rPr>
          <w:rFonts w:hint="eastAsia"/>
          <w:kern w:val="0"/>
          <w:highlight w:val="none"/>
          <w:u w:val="single"/>
        </w:rPr>
        <w:t xml:space="preserve">      </w:t>
      </w:r>
      <w:r>
        <w:rPr>
          <w:rFonts w:hint="eastAsia"/>
          <w:highlight w:val="none"/>
        </w:rPr>
        <w:t>），增值税税款为人民币</w:t>
      </w:r>
      <w:r>
        <w:rPr>
          <w:rFonts w:hint="eastAsia"/>
          <w:kern w:val="0"/>
          <w:highlight w:val="none"/>
          <w:u w:val="single"/>
        </w:rPr>
        <w:t xml:space="preserve">      </w:t>
      </w:r>
      <w:r>
        <w:rPr>
          <w:rFonts w:hint="eastAsia"/>
          <w:highlight w:val="none"/>
        </w:rPr>
        <w:t>元（大写：人民币</w:t>
      </w:r>
      <w:r>
        <w:rPr>
          <w:rFonts w:hint="eastAsia"/>
          <w:kern w:val="0"/>
          <w:highlight w:val="none"/>
          <w:u w:val="single"/>
        </w:rPr>
        <w:t xml:space="preserve">      </w:t>
      </w:r>
      <w:r>
        <w:rPr>
          <w:rFonts w:hint="eastAsia"/>
          <w:highlight w:val="none"/>
        </w:rPr>
        <w:t>）。</w:t>
      </w:r>
    </w:p>
    <w:p w14:paraId="25B37B93">
      <w:pPr>
        <w:autoSpaceDE w:val="0"/>
        <w:autoSpaceDN w:val="0"/>
        <w:adjustRightInd w:val="0"/>
        <w:ind w:firstLine="480"/>
        <w:jc w:val="left"/>
        <w:rPr>
          <w:rFonts w:hint="eastAsia"/>
          <w:kern w:val="0"/>
          <w:highlight w:val="none"/>
        </w:rPr>
      </w:pPr>
      <w:r>
        <w:rPr>
          <w:rFonts w:hint="eastAsia"/>
          <w:highlight w:val="none"/>
          <w:lang w:val="en-US" w:eastAsia="zh-CN"/>
        </w:rPr>
        <w:t xml:space="preserve">     </w:t>
      </w:r>
      <w:r>
        <w:rPr>
          <w:rFonts w:hint="eastAsia" w:ascii="宋体" w:hAnsi="宋体" w:eastAsia="宋体" w:cs="宋体"/>
          <w:kern w:val="0"/>
          <w:sz w:val="21"/>
          <w:szCs w:val="21"/>
          <w:highlight w:val="none"/>
          <w:lang w:val="en-US" w:eastAsia="zh-CN" w:bidi="ar-SA"/>
        </w:rPr>
        <w:t>（4）本项目质保期为</w:t>
      </w:r>
      <w:r>
        <w:rPr>
          <w:rFonts w:hint="eastAsia" w:ascii="宋体" w:hAnsi="宋体" w:eastAsia="宋体" w:cs="宋体"/>
          <w:kern w:val="0"/>
          <w:sz w:val="21"/>
          <w:szCs w:val="21"/>
          <w:highlight w:val="none"/>
          <w:u w:val="single"/>
          <w:lang w:val="en-US" w:eastAsia="zh-CN" w:bidi="ar-SA"/>
        </w:rPr>
        <w:t xml:space="preserve">  </w:t>
      </w:r>
      <w:r>
        <w:rPr>
          <w:rFonts w:hint="eastAsia" w:cs="宋体"/>
          <w:kern w:val="0"/>
          <w:sz w:val="21"/>
          <w:szCs w:val="21"/>
          <w:highlight w:val="none"/>
          <w:u w:val="single"/>
          <w:lang w:val="en-US" w:eastAsia="zh-CN" w:bidi="ar-SA"/>
        </w:rPr>
        <w:t>1</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年，自竣工验收合格之日起计算。</w:t>
      </w:r>
    </w:p>
    <w:p w14:paraId="50C2C0CE">
      <w:pPr>
        <w:autoSpaceDE w:val="0"/>
        <w:autoSpaceDN w:val="0"/>
        <w:adjustRightInd w:val="0"/>
        <w:ind w:firstLine="480"/>
        <w:jc w:val="left"/>
        <w:rPr>
          <w:rFonts w:hint="eastAsia"/>
          <w:color w:val="00B0F0"/>
          <w:kern w:val="0"/>
          <w:highlight w:val="none"/>
        </w:rPr>
      </w:pPr>
      <w:r>
        <w:rPr>
          <w:rFonts w:hint="eastAsia"/>
          <w:kern w:val="0"/>
          <w:highlight w:val="none"/>
        </w:rPr>
        <w:t>乙方向甲方开具符合国家有关规定的全额发票。</w:t>
      </w:r>
    </w:p>
    <w:p w14:paraId="59128C5F">
      <w:pPr>
        <w:pStyle w:val="9"/>
        <w:ind w:left="420"/>
        <w:rPr>
          <w:rFonts w:hint="eastAsia"/>
          <w:kern w:val="0"/>
          <w:highlight w:val="none"/>
        </w:rPr>
      </w:pPr>
      <w:r>
        <w:rPr>
          <w:rFonts w:hint="eastAsia"/>
          <w:kern w:val="0"/>
          <w:highlight w:val="none"/>
        </w:rPr>
        <w:t>3、支付方式：</w:t>
      </w:r>
    </w:p>
    <w:p w14:paraId="33887E33">
      <w:pPr>
        <w:pStyle w:val="9"/>
        <w:ind w:left="420"/>
        <w:rPr>
          <w:rFonts w:hint="eastAsia"/>
          <w:kern w:val="0"/>
          <w:highlight w:val="none"/>
        </w:rPr>
      </w:pPr>
      <w:r>
        <w:rPr>
          <w:rFonts w:hint="eastAsia"/>
          <w:kern w:val="0"/>
          <w:highlight w:val="none"/>
        </w:rPr>
        <w:t>甲方与乙方之间通过</w:t>
      </w:r>
      <w:r>
        <w:rPr>
          <w:rFonts w:hint="eastAsia"/>
          <w:kern w:val="0"/>
          <w:highlight w:val="none"/>
          <w:u w:val="single"/>
        </w:rPr>
        <w:t xml:space="preserve">  银行转账 </w:t>
      </w:r>
      <w:r>
        <w:rPr>
          <w:rFonts w:hint="eastAsia"/>
          <w:kern w:val="0"/>
          <w:highlight w:val="none"/>
        </w:rPr>
        <w:t>方式进行结算。</w:t>
      </w:r>
    </w:p>
    <w:p w14:paraId="394968C9">
      <w:pPr>
        <w:pStyle w:val="9"/>
        <w:ind w:left="420"/>
        <w:rPr>
          <w:rFonts w:hint="eastAsia"/>
          <w:kern w:val="0"/>
          <w:highlight w:val="none"/>
        </w:rPr>
      </w:pPr>
      <w:r>
        <w:rPr>
          <w:rFonts w:hint="eastAsia"/>
          <w:kern w:val="0"/>
          <w:highlight w:val="none"/>
        </w:rPr>
        <w:t>4、发票种类：</w:t>
      </w:r>
    </w:p>
    <w:p w14:paraId="62ABCC14">
      <w:pPr>
        <w:pStyle w:val="9"/>
        <w:ind w:left="420"/>
        <w:rPr>
          <w:rFonts w:hint="eastAsia"/>
          <w:kern w:val="0"/>
          <w:highlight w:val="none"/>
        </w:rPr>
      </w:pPr>
      <w:r>
        <w:rPr>
          <w:rFonts w:hint="eastAsia"/>
          <w:kern w:val="0"/>
          <w:highlight w:val="none"/>
        </w:rPr>
        <w:t>（1）乙方提供发票种类如下：</w:t>
      </w:r>
    </w:p>
    <w:p w14:paraId="62DDC9F2">
      <w:pPr>
        <w:pStyle w:val="9"/>
        <w:ind w:left="420"/>
        <w:rPr>
          <w:rFonts w:hint="eastAsia"/>
          <w:kern w:val="0"/>
          <w:highlight w:val="none"/>
        </w:rPr>
      </w:pPr>
      <w:r>
        <w:rPr>
          <w:rFonts w:hint="eastAsia"/>
          <w:kern w:val="0"/>
          <w:highlight w:val="none"/>
        </w:rPr>
        <w:t>【 】增值税专用发票；    【 】增值税普通发票；    【 】服务业发票；</w:t>
      </w:r>
    </w:p>
    <w:p w14:paraId="3C0AC86F">
      <w:pPr>
        <w:pStyle w:val="9"/>
        <w:ind w:left="420"/>
        <w:rPr>
          <w:rFonts w:hint="eastAsia"/>
          <w:kern w:val="0"/>
          <w:highlight w:val="none"/>
        </w:rPr>
      </w:pPr>
      <w:r>
        <w:rPr>
          <w:rFonts w:hint="eastAsia"/>
          <w:kern w:val="0"/>
          <w:highlight w:val="none"/>
        </w:rPr>
        <w:t>【 】税局代开发票</w:t>
      </w:r>
      <w:r>
        <w:rPr>
          <w:rFonts w:hint="eastAsia"/>
          <w:kern w:val="0"/>
          <w:highlight w:val="none"/>
          <w:u w:val="single"/>
        </w:rPr>
        <w:t xml:space="preserve">              </w:t>
      </w:r>
      <w:r>
        <w:rPr>
          <w:rFonts w:hint="eastAsia"/>
          <w:kern w:val="0"/>
          <w:highlight w:val="none"/>
        </w:rPr>
        <w:t>；【 】其他发票：</w:t>
      </w:r>
      <w:r>
        <w:rPr>
          <w:rFonts w:hint="eastAsia"/>
          <w:kern w:val="0"/>
          <w:highlight w:val="none"/>
          <w:u w:val="single"/>
        </w:rPr>
        <w:t xml:space="preserve">              </w:t>
      </w:r>
      <w:r>
        <w:rPr>
          <w:rFonts w:hint="eastAsia"/>
          <w:kern w:val="0"/>
          <w:highlight w:val="none"/>
        </w:rPr>
        <w:t>。</w:t>
      </w:r>
    </w:p>
    <w:p w14:paraId="48A3397B">
      <w:pPr>
        <w:pStyle w:val="9"/>
        <w:ind w:left="0" w:leftChars="0" w:firstLine="400" w:firstLineChars="200"/>
        <w:rPr>
          <w:rFonts w:hint="eastAsia"/>
          <w:kern w:val="0"/>
          <w:highlight w:val="none"/>
        </w:rPr>
      </w:pPr>
      <w:r>
        <w:rPr>
          <w:rFonts w:hint="eastAsia"/>
          <w:kern w:val="0"/>
          <w:highlight w:val="none"/>
        </w:rPr>
        <w:t>（2）本项目提供的发票应按照本合同约定内容，乙方根据服务的不同区别开具。</w:t>
      </w:r>
    </w:p>
    <w:p w14:paraId="3767092A">
      <w:pPr>
        <w:pStyle w:val="9"/>
        <w:ind w:left="420"/>
        <w:rPr>
          <w:rFonts w:hint="eastAsia"/>
          <w:kern w:val="0"/>
          <w:highlight w:val="none"/>
        </w:rPr>
      </w:pPr>
      <w:r>
        <w:rPr>
          <w:rFonts w:hint="eastAsia"/>
          <w:kern w:val="0"/>
          <w:highlight w:val="none"/>
        </w:rPr>
        <w:t>5、银行信息：</w:t>
      </w:r>
    </w:p>
    <w:p w14:paraId="71DB84B3">
      <w:pPr>
        <w:pStyle w:val="9"/>
        <w:spacing w:line="480" w:lineRule="auto"/>
        <w:ind w:left="420" w:right="105" w:rightChars="50"/>
        <w:rPr>
          <w:rFonts w:hint="eastAsia"/>
          <w:b/>
          <w:kern w:val="0"/>
          <w:highlight w:val="none"/>
        </w:rPr>
      </w:pPr>
      <w:r>
        <w:rPr>
          <w:rFonts w:hint="eastAsia"/>
          <w:b/>
          <w:kern w:val="0"/>
          <w:highlight w:val="none"/>
        </w:rPr>
        <w:t>合同甲方：                            合同乙方：</w:t>
      </w:r>
    </w:p>
    <w:p w14:paraId="1813EF00">
      <w:pPr>
        <w:pStyle w:val="9"/>
        <w:ind w:left="420" w:right="105" w:rightChars="50"/>
        <w:rPr>
          <w:rFonts w:hint="eastAsia"/>
          <w:kern w:val="0"/>
          <w:highlight w:val="none"/>
        </w:rPr>
      </w:pPr>
      <w:r>
        <w:rPr>
          <w:rFonts w:hint="eastAsia"/>
          <w:kern w:val="0"/>
          <w:highlight w:val="none"/>
        </w:rPr>
        <w:t>开户名称：鲁山县城市管理局             开户名称：</w:t>
      </w:r>
    </w:p>
    <w:p w14:paraId="47322810">
      <w:pPr>
        <w:pStyle w:val="9"/>
        <w:ind w:left="420" w:right="105" w:rightChars="50"/>
        <w:rPr>
          <w:rFonts w:hint="eastAsia"/>
          <w:kern w:val="0"/>
          <w:highlight w:val="none"/>
        </w:rPr>
      </w:pPr>
      <w:r>
        <w:rPr>
          <w:rFonts w:hint="eastAsia"/>
          <w:kern w:val="0"/>
          <w:highlight w:val="none"/>
        </w:rPr>
        <w:t>开 户 行：中国工商银行股份有           开 户 行：</w:t>
      </w:r>
    </w:p>
    <w:p w14:paraId="56AD6262">
      <w:pPr>
        <w:pStyle w:val="9"/>
        <w:ind w:left="420" w:right="105" w:rightChars="50"/>
        <w:rPr>
          <w:rFonts w:hint="eastAsia"/>
          <w:kern w:val="0"/>
          <w:highlight w:val="none"/>
        </w:rPr>
      </w:pPr>
      <w:r>
        <w:rPr>
          <w:rFonts w:hint="eastAsia"/>
          <w:kern w:val="0"/>
          <w:highlight w:val="none"/>
        </w:rPr>
        <w:t xml:space="preserve">限公司鲁山支行    </w:t>
      </w:r>
    </w:p>
    <w:p w14:paraId="423FF028">
      <w:pPr>
        <w:pStyle w:val="9"/>
        <w:spacing w:line="480" w:lineRule="auto"/>
        <w:ind w:left="420" w:right="105" w:rightChars="50"/>
        <w:rPr>
          <w:rFonts w:hint="eastAsia"/>
          <w:kern w:val="0"/>
          <w:highlight w:val="none"/>
        </w:rPr>
      </w:pPr>
      <w:r>
        <w:rPr>
          <w:rFonts w:hint="eastAsia"/>
          <w:kern w:val="0"/>
          <w:highlight w:val="none"/>
        </w:rPr>
        <w:t>帐    号：1707024409200012254          帐    号：</w:t>
      </w:r>
    </w:p>
    <w:p w14:paraId="39161D59">
      <w:pPr>
        <w:rPr>
          <w:rFonts w:hint="eastAsia"/>
          <w:b/>
          <w:bCs/>
          <w:sz w:val="22"/>
          <w:szCs w:val="22"/>
          <w:highlight w:val="none"/>
        </w:rPr>
      </w:pPr>
      <w:r>
        <w:rPr>
          <w:rFonts w:hint="eastAsia"/>
          <w:b/>
          <w:bCs/>
          <w:sz w:val="22"/>
          <w:szCs w:val="22"/>
          <w:highlight w:val="none"/>
        </w:rPr>
        <w:t xml:space="preserve"> 第三条 项目实施管理</w:t>
      </w:r>
    </w:p>
    <w:p w14:paraId="459E9B70">
      <w:pPr>
        <w:autoSpaceDE w:val="0"/>
        <w:autoSpaceDN w:val="0"/>
        <w:adjustRightInd w:val="0"/>
        <w:ind w:firstLine="480"/>
        <w:jc w:val="left"/>
        <w:rPr>
          <w:rFonts w:hint="eastAsia"/>
          <w:color w:val="000000"/>
          <w:kern w:val="0"/>
          <w:highlight w:val="none"/>
        </w:rPr>
      </w:pPr>
      <w:r>
        <w:rPr>
          <w:rFonts w:hint="eastAsia"/>
          <w:color w:val="000000"/>
          <w:kern w:val="0"/>
          <w:highlight w:val="none"/>
        </w:rPr>
        <w:t>1、项目组</w:t>
      </w:r>
    </w:p>
    <w:p w14:paraId="0408ECB2">
      <w:pPr>
        <w:autoSpaceDE w:val="0"/>
        <w:autoSpaceDN w:val="0"/>
        <w:adjustRightInd w:val="0"/>
        <w:ind w:firstLine="480"/>
        <w:jc w:val="left"/>
        <w:rPr>
          <w:rFonts w:hint="eastAsia"/>
          <w:color w:val="000000"/>
          <w:kern w:val="0"/>
          <w:highlight w:val="none"/>
        </w:rPr>
      </w:pPr>
      <w:r>
        <w:rPr>
          <w:rFonts w:hint="eastAsia"/>
          <w:color w:val="000000"/>
          <w:kern w:val="0"/>
          <w:highlight w:val="none"/>
        </w:rPr>
        <w:t>甲乙双方应当委派人员分别组成项目组。</w:t>
      </w:r>
    </w:p>
    <w:p w14:paraId="1DCC7DC1">
      <w:pPr>
        <w:autoSpaceDE w:val="0"/>
        <w:autoSpaceDN w:val="0"/>
        <w:adjustRightInd w:val="0"/>
        <w:ind w:firstLine="480"/>
        <w:jc w:val="left"/>
        <w:rPr>
          <w:rFonts w:hint="eastAsia"/>
          <w:color w:val="000000"/>
          <w:kern w:val="0"/>
          <w:highlight w:val="none"/>
        </w:rPr>
      </w:pPr>
      <w:r>
        <w:rPr>
          <w:rFonts w:hint="eastAsia"/>
          <w:color w:val="000000"/>
          <w:kern w:val="0"/>
          <w:highlight w:val="none"/>
        </w:rPr>
        <w:t>2、信息与资料提供</w:t>
      </w:r>
    </w:p>
    <w:p w14:paraId="03D48124">
      <w:pPr>
        <w:autoSpaceDE w:val="0"/>
        <w:autoSpaceDN w:val="0"/>
        <w:adjustRightInd w:val="0"/>
        <w:ind w:firstLine="480"/>
        <w:jc w:val="left"/>
        <w:rPr>
          <w:rFonts w:hint="eastAsia"/>
          <w:color w:val="000000"/>
          <w:kern w:val="0"/>
          <w:highlight w:val="none"/>
        </w:rPr>
      </w:pPr>
      <w:r>
        <w:rPr>
          <w:rFonts w:hint="eastAsia"/>
          <w:color w:val="000000"/>
          <w:kern w:val="0"/>
          <w:highlight w:val="none"/>
        </w:rPr>
        <w:t>（1）乙方有权向甲方有关职能人员调查、了解现有的相关信息和资料，以对本项目进行全面的研究和设计；甲方应当予以配合。</w:t>
      </w:r>
    </w:p>
    <w:p w14:paraId="4810A35B">
      <w:pPr>
        <w:autoSpaceDE w:val="0"/>
        <w:autoSpaceDN w:val="0"/>
        <w:adjustRightInd w:val="0"/>
        <w:ind w:firstLine="420"/>
        <w:jc w:val="left"/>
        <w:rPr>
          <w:rFonts w:hint="eastAsia"/>
          <w:color w:val="000000"/>
          <w:kern w:val="0"/>
          <w:highlight w:val="none"/>
        </w:rPr>
      </w:pPr>
      <w:r>
        <w:rPr>
          <w:rFonts w:hint="eastAsia"/>
          <w:color w:val="000000"/>
          <w:kern w:val="0"/>
          <w:highlight w:val="none"/>
        </w:rPr>
        <w:t>（2）乙方认为甲方提供的信息和资料不符合本项目要求的，有权书面通知甲方补齐、补正。甲方未按照约定补齐、补正，也未做出合理解释的，延误的工期相应顺延。</w:t>
      </w:r>
    </w:p>
    <w:p w14:paraId="1B397226">
      <w:pPr>
        <w:autoSpaceDE w:val="0"/>
        <w:autoSpaceDN w:val="0"/>
        <w:adjustRightInd w:val="0"/>
        <w:ind w:firstLine="480"/>
        <w:jc w:val="left"/>
        <w:rPr>
          <w:rFonts w:hint="eastAsia"/>
          <w:color w:val="000000"/>
          <w:kern w:val="0"/>
          <w:highlight w:val="none"/>
        </w:rPr>
      </w:pPr>
      <w:r>
        <w:rPr>
          <w:rFonts w:hint="eastAsia"/>
          <w:color w:val="000000"/>
          <w:kern w:val="0"/>
          <w:highlight w:val="none"/>
        </w:rPr>
        <w:t>3、项目技术文件</w:t>
      </w:r>
    </w:p>
    <w:p w14:paraId="343010E1">
      <w:pPr>
        <w:autoSpaceDE w:val="0"/>
        <w:autoSpaceDN w:val="0"/>
        <w:adjustRightInd w:val="0"/>
        <w:ind w:firstLine="420" w:firstLineChars="200"/>
        <w:jc w:val="left"/>
        <w:rPr>
          <w:rFonts w:hint="eastAsia"/>
          <w:color w:val="000000"/>
          <w:kern w:val="0"/>
          <w:highlight w:val="none"/>
        </w:rPr>
      </w:pPr>
      <w:r>
        <w:rPr>
          <w:rFonts w:hint="eastAsia"/>
          <w:color w:val="000000"/>
          <w:kern w:val="0"/>
          <w:highlight w:val="none"/>
        </w:rPr>
        <w:t>（1）项目需求分析完成后，乙方应当向甲方提交的技术文件及按照计划完成时间安排施工计划。</w:t>
      </w:r>
    </w:p>
    <w:p w14:paraId="2F993456">
      <w:pPr>
        <w:autoSpaceDE w:val="0"/>
        <w:autoSpaceDN w:val="0"/>
        <w:adjustRightInd w:val="0"/>
        <w:ind w:firstLine="420" w:firstLineChars="200"/>
        <w:jc w:val="left"/>
        <w:rPr>
          <w:rFonts w:hint="eastAsia"/>
          <w:kern w:val="0"/>
          <w:highlight w:val="none"/>
        </w:rPr>
      </w:pPr>
      <w:r>
        <w:rPr>
          <w:rFonts w:hint="eastAsia"/>
          <w:kern w:val="0"/>
          <w:highlight w:val="none"/>
        </w:rPr>
        <w:t>（2）甲方应当对乙方提交的技术文件进行审核，并在2个工作日内签字确认或提出书面修改意见。根据甲方的书面修改意见，乙方应当及时予以修改并再次提交审核。甲方无正当理由怠于审核的，延误的工期相应顺延，造成乙方损失的，甲方应当承担赔偿责任。</w:t>
      </w:r>
    </w:p>
    <w:p w14:paraId="0700A53C">
      <w:pPr>
        <w:autoSpaceDE w:val="0"/>
        <w:autoSpaceDN w:val="0"/>
        <w:adjustRightInd w:val="0"/>
        <w:ind w:firstLine="480"/>
        <w:jc w:val="left"/>
        <w:rPr>
          <w:rFonts w:hint="eastAsia"/>
          <w:kern w:val="0"/>
          <w:highlight w:val="none"/>
        </w:rPr>
      </w:pPr>
      <w:r>
        <w:rPr>
          <w:rFonts w:hint="eastAsia"/>
          <w:kern w:val="0"/>
          <w:highlight w:val="none"/>
        </w:rPr>
        <w:t>（3）技术文件经甲方签字确认后，作为本合同的附件。但甲方对技术文件的确认，并不代表免除乙方对技术问题所应承担的相应责任。</w:t>
      </w:r>
    </w:p>
    <w:p w14:paraId="7837B658">
      <w:pPr>
        <w:autoSpaceDE w:val="0"/>
        <w:autoSpaceDN w:val="0"/>
        <w:adjustRightInd w:val="0"/>
        <w:ind w:firstLine="480"/>
        <w:jc w:val="left"/>
        <w:rPr>
          <w:rFonts w:hint="eastAsia"/>
          <w:kern w:val="0"/>
          <w:highlight w:val="none"/>
        </w:rPr>
      </w:pPr>
      <w:r>
        <w:rPr>
          <w:rFonts w:hint="eastAsia"/>
          <w:kern w:val="0"/>
          <w:highlight w:val="none"/>
        </w:rPr>
        <w:t>4、项目变更</w:t>
      </w:r>
    </w:p>
    <w:p w14:paraId="488CE5FB">
      <w:pPr>
        <w:autoSpaceDE w:val="0"/>
        <w:autoSpaceDN w:val="0"/>
        <w:adjustRightInd w:val="0"/>
        <w:ind w:firstLine="480"/>
        <w:jc w:val="left"/>
        <w:rPr>
          <w:rFonts w:hint="eastAsia"/>
          <w:color w:val="000000"/>
          <w:kern w:val="0"/>
          <w:highlight w:val="none"/>
        </w:rPr>
      </w:pPr>
      <w:r>
        <w:rPr>
          <w:rFonts w:hint="eastAsia"/>
          <w:color w:val="000000"/>
          <w:kern w:val="0"/>
          <w:highlight w:val="none"/>
        </w:rPr>
        <w:t>（1）甲乙双方均有权在本合同履行过程中提出变更、扩展、替换或修改本项目内容的建议，包括但不限于增加或减少系统的相应功能、提高有关技术参数、变更产品交付或系统安装的时间与地点等。</w:t>
      </w:r>
    </w:p>
    <w:p w14:paraId="4A825D3B">
      <w:pPr>
        <w:autoSpaceDE w:val="0"/>
        <w:autoSpaceDN w:val="0"/>
        <w:adjustRightInd w:val="0"/>
        <w:ind w:firstLine="480"/>
        <w:jc w:val="left"/>
        <w:rPr>
          <w:rFonts w:hint="eastAsia"/>
          <w:color w:val="000000"/>
          <w:kern w:val="0"/>
          <w:highlight w:val="none"/>
        </w:rPr>
      </w:pPr>
      <w:r>
        <w:rPr>
          <w:rFonts w:hint="eastAsia"/>
          <w:color w:val="000000"/>
          <w:kern w:val="0"/>
          <w:highlight w:val="none"/>
        </w:rPr>
        <w:t>（2）本合同履行过程中的重大变更（包括但不限于信息系统性能、项目实施计划、合同价款、交付日期等的更改以及对材料等），甲乙双方应当以书面形式予以确定。因甲方提出变更导致合同价款的增减以及造成的乙方损失，应当由甲方承担，延误的工期相应顺延。</w:t>
      </w:r>
    </w:p>
    <w:p w14:paraId="2D73831E">
      <w:pPr>
        <w:rPr>
          <w:rFonts w:hint="eastAsia"/>
          <w:b/>
          <w:bCs/>
          <w:sz w:val="22"/>
          <w:szCs w:val="22"/>
          <w:highlight w:val="none"/>
        </w:rPr>
      </w:pPr>
      <w:r>
        <w:rPr>
          <w:rFonts w:hint="eastAsia"/>
          <w:b/>
          <w:bCs/>
          <w:sz w:val="22"/>
          <w:szCs w:val="22"/>
          <w:highlight w:val="none"/>
        </w:rPr>
        <w:t>第四条 信息系统交付和验收</w:t>
      </w:r>
    </w:p>
    <w:p w14:paraId="14B22F5A">
      <w:pPr>
        <w:autoSpaceDE w:val="0"/>
        <w:autoSpaceDN w:val="0"/>
        <w:adjustRightInd w:val="0"/>
        <w:ind w:firstLine="480"/>
        <w:jc w:val="left"/>
        <w:rPr>
          <w:rFonts w:hint="eastAsia"/>
          <w:kern w:val="0"/>
          <w:highlight w:val="none"/>
        </w:rPr>
      </w:pPr>
      <w:r>
        <w:rPr>
          <w:rFonts w:hint="eastAsia"/>
          <w:kern w:val="0"/>
          <w:highlight w:val="none"/>
        </w:rPr>
        <w:t>1、交付</w:t>
      </w:r>
    </w:p>
    <w:p w14:paraId="7B5B9ECA">
      <w:pPr>
        <w:autoSpaceDE w:val="0"/>
        <w:autoSpaceDN w:val="0"/>
        <w:adjustRightInd w:val="0"/>
        <w:ind w:firstLine="480"/>
        <w:jc w:val="left"/>
        <w:rPr>
          <w:rFonts w:hint="eastAsia"/>
          <w:color w:val="000000"/>
          <w:kern w:val="0"/>
          <w:highlight w:val="none"/>
        </w:rPr>
      </w:pPr>
      <w:r>
        <w:rPr>
          <w:rFonts w:hint="eastAsia"/>
          <w:color w:val="000000"/>
          <w:kern w:val="0"/>
          <w:highlight w:val="none"/>
        </w:rPr>
        <w:t>（1）乙方应当按照本合同及附件约定的内容进行交付，所交付的文档与文件应当包括纸质及电子版式并可供阅读。如约定甲方可以使用或拥有某软件源代码的，乙方应当同时交付该软件的源代码。</w:t>
      </w:r>
    </w:p>
    <w:p w14:paraId="5D3DB2A3">
      <w:pPr>
        <w:autoSpaceDE w:val="0"/>
        <w:autoSpaceDN w:val="0"/>
        <w:adjustRightInd w:val="0"/>
        <w:ind w:firstLine="480"/>
        <w:jc w:val="left"/>
        <w:rPr>
          <w:rFonts w:hint="eastAsia"/>
          <w:color w:val="000000"/>
          <w:kern w:val="0"/>
          <w:highlight w:val="none"/>
        </w:rPr>
      </w:pPr>
      <w:r>
        <w:rPr>
          <w:rFonts w:hint="eastAsia"/>
          <w:color w:val="000000"/>
          <w:kern w:val="0"/>
          <w:highlight w:val="none"/>
        </w:rPr>
        <w:t>（2）乙方应当在每项交付2个工作日前以书面方式通知甲方，甲方应当在接到通知后及时安排交付事宜。</w:t>
      </w:r>
    </w:p>
    <w:p w14:paraId="4F024986">
      <w:pPr>
        <w:autoSpaceDE w:val="0"/>
        <w:autoSpaceDN w:val="0"/>
        <w:adjustRightInd w:val="0"/>
        <w:ind w:firstLine="480"/>
        <w:jc w:val="left"/>
        <w:rPr>
          <w:rFonts w:hint="eastAsia"/>
          <w:color w:val="000000"/>
          <w:kern w:val="0"/>
          <w:highlight w:val="none"/>
        </w:rPr>
      </w:pPr>
      <w:r>
        <w:rPr>
          <w:rFonts w:hint="eastAsia"/>
          <w:color w:val="000000"/>
          <w:kern w:val="0"/>
          <w:highlight w:val="none"/>
        </w:rPr>
        <w:t>（3）因甲方原因导致交付不能按时进行的，乙方可相应顺延交付日期，造成乙方损失的，甲方应当承担赔偿责任。</w:t>
      </w:r>
    </w:p>
    <w:p w14:paraId="51E03824">
      <w:pPr>
        <w:autoSpaceDE w:val="0"/>
        <w:autoSpaceDN w:val="0"/>
        <w:adjustRightInd w:val="0"/>
        <w:ind w:firstLine="480"/>
        <w:jc w:val="left"/>
        <w:rPr>
          <w:rFonts w:hint="eastAsia"/>
          <w:color w:val="000000"/>
          <w:kern w:val="0"/>
          <w:highlight w:val="none"/>
        </w:rPr>
      </w:pPr>
      <w:r>
        <w:rPr>
          <w:rFonts w:hint="eastAsia"/>
          <w:color w:val="000000"/>
          <w:kern w:val="0"/>
          <w:highlight w:val="none"/>
        </w:rPr>
        <w:t>2、阶段性验收</w:t>
      </w:r>
    </w:p>
    <w:p w14:paraId="21A4B3D3">
      <w:pPr>
        <w:autoSpaceDE w:val="0"/>
        <w:autoSpaceDN w:val="0"/>
        <w:adjustRightInd w:val="0"/>
        <w:ind w:firstLine="480"/>
        <w:jc w:val="left"/>
        <w:rPr>
          <w:rFonts w:hint="eastAsia"/>
          <w:color w:val="000000"/>
          <w:kern w:val="0"/>
          <w:highlight w:val="none"/>
        </w:rPr>
      </w:pPr>
      <w:r>
        <w:rPr>
          <w:rFonts w:hint="eastAsia"/>
          <w:color w:val="000000"/>
          <w:kern w:val="0"/>
          <w:highlight w:val="none"/>
        </w:rPr>
        <w:t>阶段性验收是对本项目</w:t>
      </w:r>
      <w:r>
        <w:rPr>
          <w:rFonts w:hint="eastAsia"/>
          <w:kern w:val="0"/>
          <w:highlight w:val="none"/>
          <w:u w:val="single"/>
        </w:rPr>
        <w:t xml:space="preserve">             </w:t>
      </w:r>
      <w:r>
        <w:rPr>
          <w:rFonts w:hint="eastAsia"/>
          <w:kern w:val="0"/>
          <w:highlight w:val="none"/>
        </w:rPr>
        <w:t>（功能模块/阶段性工作成果）</w:t>
      </w:r>
      <w:r>
        <w:rPr>
          <w:rFonts w:hint="eastAsia"/>
          <w:color w:val="000000"/>
          <w:kern w:val="0"/>
          <w:highlight w:val="none"/>
        </w:rPr>
        <w:t>所进行的验收。阶段性验收时，双方应当在5个工作日内根据约定的要求进行验收。经验收合格的，甲方应当在2个工作日内签署阶段性验收报告。甲方无正当理由怠于验收或未在约定期限内签署阶段性验收报告的，自期限届满之日起视为阶段性验收合格；阶段性验收不合格的，乙方应当按照约定的要求整改并承担相应的费用。</w:t>
      </w:r>
    </w:p>
    <w:p w14:paraId="17916889">
      <w:pPr>
        <w:autoSpaceDE w:val="0"/>
        <w:autoSpaceDN w:val="0"/>
        <w:adjustRightInd w:val="0"/>
        <w:ind w:left="480"/>
        <w:jc w:val="left"/>
        <w:rPr>
          <w:rFonts w:hint="eastAsia"/>
          <w:color w:val="000000"/>
          <w:kern w:val="0"/>
          <w:highlight w:val="none"/>
        </w:rPr>
      </w:pPr>
      <w:r>
        <w:rPr>
          <w:rFonts w:hint="eastAsia"/>
          <w:color w:val="000000"/>
          <w:kern w:val="0"/>
          <w:highlight w:val="none"/>
        </w:rPr>
        <w:t>4、竣工验收</w:t>
      </w:r>
    </w:p>
    <w:p w14:paraId="3B67F23E">
      <w:pPr>
        <w:autoSpaceDE w:val="0"/>
        <w:autoSpaceDN w:val="0"/>
        <w:adjustRightInd w:val="0"/>
        <w:ind w:firstLine="480"/>
        <w:jc w:val="left"/>
        <w:rPr>
          <w:rFonts w:hint="eastAsia"/>
          <w:color w:val="000000"/>
          <w:kern w:val="0"/>
          <w:highlight w:val="none"/>
        </w:rPr>
      </w:pPr>
      <w:r>
        <w:rPr>
          <w:rFonts w:hint="eastAsia"/>
          <w:color w:val="000000"/>
          <w:kern w:val="0"/>
          <w:highlight w:val="none"/>
        </w:rPr>
        <w:t>（1）本项目竣工后，乙方应当书面通知甲方进行竣工验收。竣工验收时，乙方应当向甲方提供完整的验收资料和竣工报告，并协助甲方进行验收。</w:t>
      </w:r>
    </w:p>
    <w:p w14:paraId="1B286B21">
      <w:pPr>
        <w:autoSpaceDE w:val="0"/>
        <w:autoSpaceDN w:val="0"/>
        <w:adjustRightInd w:val="0"/>
        <w:ind w:firstLine="480"/>
        <w:jc w:val="left"/>
        <w:rPr>
          <w:rFonts w:hint="eastAsia"/>
          <w:color w:val="000000"/>
          <w:kern w:val="0"/>
          <w:highlight w:val="none"/>
        </w:rPr>
      </w:pPr>
      <w:r>
        <w:rPr>
          <w:rFonts w:hint="eastAsia"/>
          <w:color w:val="000000"/>
          <w:kern w:val="0"/>
          <w:highlight w:val="none"/>
        </w:rPr>
        <w:t>（2）甲方应当于收到竣工验收通知后5个工作日内组织相关人员进行竣工验收，并在验收后2个工作日内出具竣工验收报告或提出整改意见。甲方提出整改意见的，乙方应当及时整改并承担由自身原因造成整改的费用。</w:t>
      </w:r>
    </w:p>
    <w:p w14:paraId="42985400">
      <w:pPr>
        <w:autoSpaceDE w:val="0"/>
        <w:autoSpaceDN w:val="0"/>
        <w:adjustRightInd w:val="0"/>
        <w:ind w:firstLine="480"/>
        <w:jc w:val="left"/>
        <w:rPr>
          <w:rFonts w:hint="eastAsia"/>
          <w:color w:val="000000"/>
          <w:kern w:val="0"/>
          <w:highlight w:val="none"/>
        </w:rPr>
      </w:pPr>
      <w:r>
        <w:rPr>
          <w:rFonts w:hint="eastAsia"/>
          <w:color w:val="000000"/>
          <w:kern w:val="0"/>
          <w:highlight w:val="none"/>
        </w:rPr>
        <w:t>（3）验收通过后甲方应向乙方出具验收证明，甲方无正当理由未在约定期限内组织验收或提出修改意见的，自期限届满之日起视为本项目竣工验收合格。</w:t>
      </w:r>
    </w:p>
    <w:p w14:paraId="6D642558">
      <w:pPr>
        <w:rPr>
          <w:rFonts w:hint="eastAsia"/>
          <w:b/>
          <w:bCs/>
          <w:sz w:val="22"/>
          <w:szCs w:val="22"/>
          <w:highlight w:val="none"/>
        </w:rPr>
      </w:pPr>
      <w:r>
        <w:rPr>
          <w:rFonts w:hint="eastAsia"/>
          <w:b/>
          <w:bCs/>
          <w:sz w:val="22"/>
          <w:szCs w:val="22"/>
          <w:highlight w:val="none"/>
        </w:rPr>
        <w:t>第五条 项目培训</w:t>
      </w:r>
    </w:p>
    <w:p w14:paraId="31A1D8F5">
      <w:pPr>
        <w:autoSpaceDE w:val="0"/>
        <w:autoSpaceDN w:val="0"/>
        <w:adjustRightInd w:val="0"/>
        <w:ind w:left="2" w:firstLine="480"/>
        <w:jc w:val="left"/>
        <w:rPr>
          <w:rFonts w:hint="eastAsia"/>
          <w:color w:val="000000"/>
          <w:kern w:val="0"/>
          <w:highlight w:val="none"/>
        </w:rPr>
      </w:pPr>
      <w:r>
        <w:rPr>
          <w:rFonts w:hint="eastAsia"/>
          <w:color w:val="000000"/>
          <w:kern w:val="0"/>
          <w:highlight w:val="none"/>
        </w:rPr>
        <w:t>1、乙方应当根据项目实施计划、进度和系统实际运行的需要，及时培训甲方技术人员。培训目标为甲方技术人员能够熟练掌握系统的操作技能和日常的维护技能</w:t>
      </w:r>
      <w:r>
        <w:rPr>
          <w:rFonts w:hint="eastAsia"/>
          <w:color w:val="000000"/>
          <w:kern w:val="0"/>
          <w:highlight w:val="none"/>
          <w:lang w:eastAsia="zh-CN"/>
        </w:rPr>
        <w:t>为止</w:t>
      </w:r>
      <w:r>
        <w:rPr>
          <w:rFonts w:hint="eastAsia"/>
          <w:color w:val="000000"/>
          <w:kern w:val="0"/>
          <w:highlight w:val="none"/>
        </w:rPr>
        <w:t>。</w:t>
      </w:r>
    </w:p>
    <w:p w14:paraId="242E083B">
      <w:pPr>
        <w:autoSpaceDE w:val="0"/>
        <w:autoSpaceDN w:val="0"/>
        <w:adjustRightInd w:val="0"/>
        <w:ind w:firstLine="480"/>
        <w:jc w:val="left"/>
        <w:rPr>
          <w:rFonts w:hint="eastAsia"/>
          <w:color w:val="000000"/>
          <w:kern w:val="0"/>
          <w:highlight w:val="none"/>
        </w:rPr>
      </w:pPr>
      <w:r>
        <w:rPr>
          <w:rFonts w:hint="eastAsia"/>
          <w:color w:val="000000"/>
          <w:kern w:val="0"/>
          <w:highlight w:val="none"/>
        </w:rPr>
        <w:t>2、乙方培训时应当提供系统操作说明和日常维护说明等技术资料。如未能达到培训目的，乙方应当按照甲方的要求</w:t>
      </w:r>
      <w:r>
        <w:rPr>
          <w:rFonts w:hint="eastAsia"/>
          <w:color w:val="000000"/>
          <w:kern w:val="0"/>
          <w:highlight w:val="none"/>
          <w:lang w:eastAsia="zh-CN"/>
        </w:rPr>
        <w:t>达到</w:t>
      </w:r>
      <w:r>
        <w:rPr>
          <w:rFonts w:hint="eastAsia"/>
          <w:color w:val="000000"/>
          <w:kern w:val="0"/>
          <w:highlight w:val="none"/>
        </w:rPr>
        <w:t>培训</w:t>
      </w:r>
      <w:r>
        <w:rPr>
          <w:rFonts w:hint="eastAsia"/>
          <w:color w:val="000000"/>
          <w:kern w:val="0"/>
          <w:highlight w:val="none"/>
          <w:lang w:eastAsia="zh-CN"/>
        </w:rPr>
        <w:t>目的为止</w:t>
      </w:r>
      <w:r>
        <w:rPr>
          <w:rFonts w:hint="eastAsia"/>
          <w:color w:val="000000"/>
          <w:kern w:val="0"/>
          <w:highlight w:val="none"/>
        </w:rPr>
        <w:t>。</w:t>
      </w:r>
    </w:p>
    <w:p w14:paraId="68B6D1AF">
      <w:pPr>
        <w:rPr>
          <w:rFonts w:hint="eastAsia"/>
          <w:b/>
          <w:bCs/>
          <w:sz w:val="22"/>
          <w:szCs w:val="22"/>
          <w:highlight w:val="none"/>
        </w:rPr>
      </w:pPr>
      <w:r>
        <w:rPr>
          <w:rFonts w:hint="eastAsia"/>
          <w:b/>
          <w:bCs/>
          <w:sz w:val="22"/>
          <w:szCs w:val="22"/>
          <w:highlight w:val="none"/>
        </w:rPr>
        <w:t>第六条 信息系统的保修和维护</w:t>
      </w:r>
    </w:p>
    <w:p w14:paraId="20CFA0BB">
      <w:pPr>
        <w:autoSpaceDE w:val="0"/>
        <w:autoSpaceDN w:val="0"/>
        <w:adjustRightInd w:val="0"/>
        <w:ind w:firstLine="480"/>
        <w:jc w:val="left"/>
        <w:rPr>
          <w:rFonts w:hint="eastAsia"/>
          <w:color w:val="000000"/>
          <w:kern w:val="0"/>
          <w:highlight w:val="none"/>
        </w:rPr>
      </w:pPr>
      <w:r>
        <w:rPr>
          <w:rFonts w:hint="eastAsia"/>
          <w:color w:val="000000"/>
          <w:kern w:val="0"/>
          <w:highlight w:val="none"/>
        </w:rPr>
        <w:t>1、如设备生产厂商对本项目所应用的部分设备的保修期规定超过上述约定质保期限的，</w:t>
      </w:r>
      <w:r>
        <w:rPr>
          <w:rFonts w:hint="eastAsia"/>
          <w:color w:val="000000"/>
          <w:kern w:val="0"/>
          <w:highlight w:val="none"/>
          <w:lang w:eastAsia="zh-CN"/>
        </w:rPr>
        <w:t>则该部分设备应当按照生产厂商规定的保修期承担免费保修责任</w:t>
      </w:r>
      <w:r>
        <w:rPr>
          <w:rFonts w:hint="eastAsia"/>
          <w:color w:val="000000"/>
          <w:kern w:val="0"/>
          <w:highlight w:val="none"/>
        </w:rPr>
        <w:t>。</w:t>
      </w:r>
    </w:p>
    <w:p w14:paraId="0E5E863F">
      <w:pPr>
        <w:autoSpaceDE w:val="0"/>
        <w:autoSpaceDN w:val="0"/>
        <w:adjustRightInd w:val="0"/>
        <w:ind w:firstLine="480"/>
        <w:jc w:val="left"/>
        <w:rPr>
          <w:rFonts w:hint="eastAsia"/>
          <w:color w:val="000000"/>
          <w:kern w:val="0"/>
          <w:highlight w:val="none"/>
        </w:rPr>
      </w:pPr>
      <w:r>
        <w:rPr>
          <w:rFonts w:hint="eastAsia"/>
          <w:color w:val="000000"/>
          <w:kern w:val="0"/>
          <w:highlight w:val="none"/>
        </w:rPr>
        <w:t>2、免费保修与维护期间，乙方提供□7×24小时/□5×8小时/□其他方式的技术支持服务。</w:t>
      </w:r>
    </w:p>
    <w:p w14:paraId="1ECCE0F2">
      <w:pPr>
        <w:autoSpaceDE w:val="0"/>
        <w:autoSpaceDN w:val="0"/>
        <w:adjustRightInd w:val="0"/>
        <w:ind w:left="2" w:firstLine="480"/>
        <w:jc w:val="left"/>
        <w:rPr>
          <w:rFonts w:hint="eastAsia"/>
          <w:color w:val="000000"/>
          <w:kern w:val="0"/>
          <w:highlight w:val="none"/>
        </w:rPr>
      </w:pPr>
      <w:r>
        <w:rPr>
          <w:rFonts w:hint="eastAsia"/>
          <w:color w:val="000000"/>
          <w:kern w:val="0"/>
          <w:highlight w:val="none"/>
        </w:rPr>
        <w:t>3、免费保修与维护期间内，如由于乙方原因需要对本项目中的部件予以更换或升级的，则该部件的保修期应当相应延长。保修与维护期满后甲方需乙方继续提供维护的，应当另行签订协议。</w:t>
      </w:r>
    </w:p>
    <w:p w14:paraId="38EFA40A">
      <w:pPr>
        <w:rPr>
          <w:rFonts w:hint="eastAsia"/>
          <w:b/>
          <w:bCs/>
          <w:sz w:val="22"/>
          <w:szCs w:val="22"/>
          <w:highlight w:val="none"/>
        </w:rPr>
      </w:pPr>
      <w:r>
        <w:rPr>
          <w:rFonts w:hint="eastAsia"/>
          <w:b/>
          <w:bCs/>
          <w:sz w:val="22"/>
          <w:szCs w:val="22"/>
          <w:highlight w:val="none"/>
        </w:rPr>
        <w:t>第七条 知识产权和保密义务</w:t>
      </w:r>
    </w:p>
    <w:p w14:paraId="3C79F1A0">
      <w:pPr>
        <w:autoSpaceDE w:val="0"/>
        <w:autoSpaceDN w:val="0"/>
        <w:adjustRightInd w:val="0"/>
        <w:ind w:firstLine="480"/>
        <w:jc w:val="left"/>
        <w:rPr>
          <w:rFonts w:hint="eastAsia"/>
          <w:color w:val="000000"/>
          <w:kern w:val="0"/>
          <w:highlight w:val="none"/>
        </w:rPr>
      </w:pPr>
      <w:r>
        <w:rPr>
          <w:rFonts w:hint="eastAsia"/>
          <w:color w:val="000000"/>
          <w:kern w:val="0"/>
          <w:highlight w:val="none"/>
        </w:rPr>
        <w:t>1、知识产权</w:t>
      </w:r>
    </w:p>
    <w:p w14:paraId="2C0D3B5E">
      <w:pPr>
        <w:autoSpaceDE w:val="0"/>
        <w:autoSpaceDN w:val="0"/>
        <w:adjustRightInd w:val="0"/>
        <w:ind w:firstLine="480"/>
        <w:jc w:val="left"/>
        <w:rPr>
          <w:rFonts w:hint="eastAsia"/>
          <w:color w:val="000000"/>
          <w:kern w:val="0"/>
          <w:highlight w:val="none"/>
        </w:rPr>
      </w:pPr>
      <w:r>
        <w:rPr>
          <w:rFonts w:hint="eastAsia"/>
          <w:color w:val="000000"/>
          <w:kern w:val="0"/>
          <w:highlight w:val="none"/>
        </w:rPr>
        <w:t>（1）甲乙双方应当对本合同所涉及的各种软件的知识产权进行约定，以保证本项目使用的软件不会侵犯对方或第三方的知识产权。</w:t>
      </w:r>
    </w:p>
    <w:p w14:paraId="36B667A7">
      <w:pPr>
        <w:autoSpaceDE w:val="0"/>
        <w:autoSpaceDN w:val="0"/>
        <w:adjustRightInd w:val="0"/>
        <w:ind w:firstLine="480"/>
        <w:jc w:val="left"/>
        <w:rPr>
          <w:rFonts w:hint="eastAsia"/>
          <w:b/>
          <w:bCs/>
          <w:color w:val="000000"/>
          <w:kern w:val="0"/>
          <w:highlight w:val="none"/>
        </w:rPr>
      </w:pPr>
      <w:r>
        <w:rPr>
          <w:rFonts w:hint="eastAsia"/>
          <w:color w:val="000000"/>
          <w:kern w:val="0"/>
          <w:highlight w:val="none"/>
        </w:rPr>
        <w:t>（2）甲方保证，对本项目中选用的甲方原有软件拥有相应的使用、修改、升级的权利，严格遵守知识产权及软件版权保护的法律、法规，并在本合同所约定的范围内使用本信息系统，否则应当承担相应的法律责任。</w:t>
      </w:r>
    </w:p>
    <w:p w14:paraId="36238194">
      <w:pPr>
        <w:autoSpaceDE w:val="0"/>
        <w:autoSpaceDN w:val="0"/>
        <w:adjustRightInd w:val="0"/>
        <w:ind w:firstLine="480"/>
        <w:jc w:val="left"/>
        <w:rPr>
          <w:rFonts w:hint="eastAsia"/>
          <w:color w:val="000000"/>
          <w:kern w:val="0"/>
          <w:highlight w:val="none"/>
        </w:rPr>
      </w:pPr>
      <w:r>
        <w:rPr>
          <w:rFonts w:hint="eastAsia"/>
          <w:color w:val="000000"/>
          <w:kern w:val="0"/>
          <w:highlight w:val="none"/>
        </w:rPr>
        <w:t>（3）乙方保证，对于其提供的软件系统拥有知识产权或已获得权利人的授权，本项目使用乙方提供的软件不会侵犯第三方的合法权益，否则乙方应当负责处理索赔或涉诉等各项事宜，造成甲方损失的，乙方还应当承担赔偿责任。</w:t>
      </w:r>
    </w:p>
    <w:p w14:paraId="0835DD12">
      <w:pPr>
        <w:autoSpaceDE w:val="0"/>
        <w:autoSpaceDN w:val="0"/>
        <w:adjustRightInd w:val="0"/>
        <w:ind w:firstLine="420" w:firstLineChars="200"/>
        <w:jc w:val="left"/>
        <w:rPr>
          <w:rFonts w:hint="eastAsia"/>
          <w:color w:val="000000"/>
          <w:kern w:val="0"/>
          <w:highlight w:val="none"/>
        </w:rPr>
      </w:pPr>
      <w:r>
        <w:rPr>
          <w:rFonts w:hint="eastAsia"/>
          <w:color w:val="000000"/>
          <w:kern w:val="0"/>
          <w:highlight w:val="none"/>
        </w:rPr>
        <w:t>（4）本合同项下全部成果的所有权和知识产权归乙方所有。未经乙方书面同意，甲方不得擅自使用，亦不得向第三方披露。</w:t>
      </w:r>
    </w:p>
    <w:p w14:paraId="1D8D63BB">
      <w:pPr>
        <w:autoSpaceDE w:val="0"/>
        <w:autoSpaceDN w:val="0"/>
        <w:adjustRightInd w:val="0"/>
        <w:ind w:firstLine="480"/>
        <w:jc w:val="left"/>
        <w:rPr>
          <w:rFonts w:hint="eastAsia"/>
          <w:color w:val="000000"/>
          <w:kern w:val="0"/>
          <w:highlight w:val="none"/>
        </w:rPr>
      </w:pPr>
      <w:r>
        <w:rPr>
          <w:rFonts w:hint="eastAsia"/>
          <w:color w:val="000000"/>
          <w:kern w:val="0"/>
          <w:highlight w:val="none"/>
        </w:rPr>
        <w:t>（5）对于乙方许可甲方使用的软件，甲方拥有的使用权、修改权、升级权。甲方应当依约定使用，不得超出约定范围。除本合同另有约定外，甲方不得将被许可使用的软件再许可第三方使用。</w:t>
      </w:r>
    </w:p>
    <w:p w14:paraId="50A67360">
      <w:pPr>
        <w:autoSpaceDE w:val="0"/>
        <w:autoSpaceDN w:val="0"/>
        <w:adjustRightInd w:val="0"/>
        <w:ind w:firstLine="480"/>
        <w:jc w:val="left"/>
        <w:rPr>
          <w:rFonts w:hint="eastAsia"/>
          <w:color w:val="000000"/>
          <w:kern w:val="0"/>
          <w:highlight w:val="none"/>
        </w:rPr>
      </w:pPr>
      <w:r>
        <w:rPr>
          <w:rFonts w:hint="eastAsia"/>
          <w:color w:val="000000"/>
          <w:kern w:val="0"/>
          <w:highlight w:val="none"/>
        </w:rPr>
        <w:t>2、保密</w:t>
      </w:r>
    </w:p>
    <w:p w14:paraId="7A089A1A">
      <w:pPr>
        <w:autoSpaceDE w:val="0"/>
        <w:autoSpaceDN w:val="0"/>
        <w:adjustRightInd w:val="0"/>
        <w:ind w:firstLine="480"/>
        <w:jc w:val="left"/>
        <w:rPr>
          <w:rFonts w:hint="eastAsia"/>
          <w:color w:val="000000"/>
          <w:kern w:val="0"/>
          <w:highlight w:val="none"/>
        </w:rPr>
      </w:pPr>
      <w:r>
        <w:rPr>
          <w:rFonts w:hint="eastAsia"/>
          <w:color w:val="000000"/>
          <w:kern w:val="0"/>
          <w:highlight w:val="none"/>
        </w:rPr>
        <w:t>（1）保密期限为本合同履行期间及本合同终止后3年。甲乙双方可另行约定保密范围，作为附件。</w:t>
      </w:r>
    </w:p>
    <w:p w14:paraId="19F3C90A">
      <w:pPr>
        <w:autoSpaceDE w:val="0"/>
        <w:autoSpaceDN w:val="0"/>
        <w:adjustRightInd w:val="0"/>
        <w:ind w:firstLine="480"/>
        <w:jc w:val="left"/>
        <w:rPr>
          <w:rFonts w:hint="eastAsia"/>
          <w:color w:val="000000"/>
          <w:kern w:val="0"/>
          <w:highlight w:val="none"/>
        </w:rPr>
      </w:pPr>
      <w:r>
        <w:rPr>
          <w:rFonts w:hint="eastAsia"/>
          <w:color w:val="000000"/>
          <w:kern w:val="0"/>
          <w:highlight w:val="none"/>
        </w:rPr>
        <w:t>（2）在保密期限内,甲乙双方均有为对方保密的义务。甲乙双方保证，因履行本合同所获得的对方商业秘密，仅用于履行本合同项下的义务，并只为履行本合同的相关人员所知悉。任何一方的相关人员违反保密义务的，由该人员所属一方承担全部法律责任；但法律另有规定的除外。</w:t>
      </w:r>
    </w:p>
    <w:p w14:paraId="4D974872">
      <w:pPr>
        <w:autoSpaceDE w:val="0"/>
        <w:autoSpaceDN w:val="0"/>
        <w:adjustRightInd w:val="0"/>
        <w:ind w:firstLine="480"/>
        <w:jc w:val="left"/>
        <w:rPr>
          <w:rFonts w:hint="eastAsia"/>
          <w:color w:val="000000"/>
          <w:kern w:val="0"/>
          <w:highlight w:val="none"/>
        </w:rPr>
      </w:pPr>
      <w:r>
        <w:rPr>
          <w:rFonts w:hint="eastAsia"/>
          <w:color w:val="000000"/>
          <w:kern w:val="0"/>
          <w:highlight w:val="none"/>
        </w:rPr>
        <w:t>（3）本合同履行完毕后，甲乙双方均应当按照对方要求，处理所获得的对方有关资料信息或电子文档。</w:t>
      </w:r>
    </w:p>
    <w:p w14:paraId="6362386C">
      <w:pPr>
        <w:rPr>
          <w:rFonts w:hint="eastAsia"/>
          <w:b/>
          <w:bCs/>
          <w:sz w:val="22"/>
          <w:szCs w:val="22"/>
          <w:highlight w:val="none"/>
        </w:rPr>
      </w:pPr>
      <w:r>
        <w:rPr>
          <w:rFonts w:hint="eastAsia"/>
          <w:b/>
          <w:bCs/>
          <w:sz w:val="22"/>
          <w:szCs w:val="22"/>
          <w:highlight w:val="none"/>
        </w:rPr>
        <w:t>第八条 违约责任</w:t>
      </w:r>
    </w:p>
    <w:p w14:paraId="2FA16337">
      <w:pPr>
        <w:autoSpaceDE w:val="0"/>
        <w:autoSpaceDN w:val="0"/>
        <w:adjustRightInd w:val="0"/>
        <w:ind w:firstLine="480"/>
        <w:jc w:val="left"/>
        <w:rPr>
          <w:rFonts w:hint="eastAsia"/>
          <w:color w:val="000000"/>
          <w:kern w:val="0"/>
          <w:highlight w:val="none"/>
        </w:rPr>
      </w:pPr>
      <w:r>
        <w:rPr>
          <w:rFonts w:hint="eastAsia"/>
          <w:color w:val="000000"/>
          <w:kern w:val="0"/>
          <w:highlight w:val="none"/>
        </w:rPr>
        <w:t>本合同生效后，甲乙双方均应当全面履行合同义务。任何一方违约，均应当按照约定承担违约责任，并赔偿对方由此受到的损失。其中：</w:t>
      </w:r>
    </w:p>
    <w:p w14:paraId="0A59577C">
      <w:pPr>
        <w:autoSpaceDE w:val="0"/>
        <w:autoSpaceDN w:val="0"/>
        <w:adjustRightInd w:val="0"/>
        <w:ind w:firstLine="480"/>
        <w:jc w:val="left"/>
        <w:rPr>
          <w:rFonts w:hint="eastAsia"/>
          <w:color w:val="000000"/>
          <w:kern w:val="0"/>
          <w:highlight w:val="none"/>
        </w:rPr>
      </w:pPr>
      <w:r>
        <w:rPr>
          <w:rFonts w:hint="eastAsia"/>
          <w:color w:val="000000"/>
          <w:kern w:val="0"/>
          <w:highlight w:val="none"/>
        </w:rPr>
        <w:t>1、乙方逾期履约或不履约责任</w:t>
      </w:r>
    </w:p>
    <w:p w14:paraId="2ACBEDC5">
      <w:pPr>
        <w:autoSpaceDE w:val="0"/>
        <w:autoSpaceDN w:val="0"/>
        <w:adjustRightInd w:val="0"/>
        <w:ind w:firstLine="480"/>
        <w:jc w:val="left"/>
        <w:rPr>
          <w:rFonts w:hint="eastAsia"/>
          <w:color w:val="000000"/>
          <w:kern w:val="0"/>
          <w:highlight w:val="none"/>
        </w:rPr>
      </w:pPr>
      <w:r>
        <w:rPr>
          <w:rFonts w:hint="eastAsia"/>
          <w:color w:val="000000"/>
          <w:kern w:val="0"/>
          <w:highlight w:val="none"/>
        </w:rPr>
        <w:t>（1）乙方无正当理由逾期交付，每逾期一日，乙方应当向甲方支付逾期部分价款1‰的违约金，但违约金总数不得超过合同总价款的1％</w:t>
      </w:r>
      <w:r>
        <w:rPr>
          <w:rFonts w:hint="eastAsia"/>
          <w:highlight w:val="none"/>
        </w:rPr>
        <w:t>。</w:t>
      </w:r>
      <w:r>
        <w:rPr>
          <w:rFonts w:hint="eastAsia"/>
          <w:color w:val="000000"/>
          <w:kern w:val="0"/>
          <w:highlight w:val="none"/>
        </w:rPr>
        <w:t xml:space="preserve"> </w:t>
      </w:r>
    </w:p>
    <w:p w14:paraId="3E59F656">
      <w:pPr>
        <w:autoSpaceDE w:val="0"/>
        <w:autoSpaceDN w:val="0"/>
        <w:adjustRightInd w:val="0"/>
        <w:ind w:firstLine="480"/>
        <w:jc w:val="left"/>
        <w:rPr>
          <w:rFonts w:hint="eastAsia"/>
          <w:color w:val="000000"/>
          <w:kern w:val="0"/>
          <w:highlight w:val="none"/>
        </w:rPr>
      </w:pPr>
      <w:r>
        <w:rPr>
          <w:rFonts w:hint="eastAsia"/>
          <w:color w:val="000000"/>
          <w:kern w:val="0"/>
          <w:highlight w:val="none"/>
        </w:rPr>
        <w:t>（2）乙方不履行合同或交付的信息系统存在重大缺陷以致无法实现合同目的的，甲方有权要求乙方继续履行或解除合同。</w:t>
      </w:r>
    </w:p>
    <w:p w14:paraId="676EBB97">
      <w:pPr>
        <w:autoSpaceDE w:val="0"/>
        <w:autoSpaceDN w:val="0"/>
        <w:adjustRightInd w:val="0"/>
        <w:ind w:firstLine="480"/>
        <w:jc w:val="left"/>
        <w:rPr>
          <w:rFonts w:hint="eastAsia"/>
          <w:color w:val="000000"/>
          <w:kern w:val="0"/>
          <w:highlight w:val="none"/>
        </w:rPr>
      </w:pPr>
      <w:r>
        <w:rPr>
          <w:rFonts w:hint="eastAsia"/>
          <w:color w:val="000000"/>
          <w:kern w:val="0"/>
          <w:highlight w:val="none"/>
        </w:rPr>
        <w:t>2、甲方逾期付款责任</w:t>
      </w:r>
    </w:p>
    <w:p w14:paraId="2C35914E">
      <w:pPr>
        <w:autoSpaceDE w:val="0"/>
        <w:autoSpaceDN w:val="0"/>
        <w:adjustRightInd w:val="0"/>
        <w:ind w:firstLine="480"/>
        <w:jc w:val="left"/>
        <w:rPr>
          <w:rFonts w:hint="eastAsia" w:eastAsia="宋体"/>
          <w:color w:val="000000"/>
          <w:kern w:val="0"/>
          <w:highlight w:val="none"/>
          <w:lang w:eastAsia="zh-CN"/>
        </w:rPr>
      </w:pPr>
      <w:r>
        <w:rPr>
          <w:rFonts w:hint="eastAsia"/>
          <w:color w:val="000000"/>
          <w:kern w:val="0"/>
          <w:highlight w:val="none"/>
        </w:rPr>
        <w:t>（1）甲方逾期付款，每逾期一日，甲方应当向乙方支付合同总价款的1‰</w:t>
      </w:r>
      <w:r>
        <w:rPr>
          <w:rFonts w:hint="eastAsia"/>
          <w:color w:val="000000"/>
          <w:kern w:val="0"/>
          <w:highlight w:val="none"/>
          <w:lang w:eastAsia="zh-CN"/>
        </w:rPr>
        <w:t>，</w:t>
      </w:r>
      <w:r>
        <w:rPr>
          <w:rFonts w:hint="eastAsia"/>
          <w:color w:val="000000"/>
          <w:kern w:val="0"/>
          <w:highlight w:val="none"/>
        </w:rPr>
        <w:t>但违约金不得超过</w:t>
      </w:r>
      <w:r>
        <w:rPr>
          <w:rFonts w:hint="eastAsia"/>
          <w:color w:val="000000"/>
          <w:kern w:val="0"/>
          <w:highlight w:val="none"/>
          <w:lang w:eastAsia="zh-CN"/>
        </w:rPr>
        <w:t>应付未付合同</w:t>
      </w:r>
      <w:r>
        <w:rPr>
          <w:rFonts w:hint="eastAsia"/>
          <w:color w:val="000000"/>
          <w:kern w:val="0"/>
          <w:highlight w:val="none"/>
        </w:rPr>
        <w:t>价款的1％</w:t>
      </w:r>
      <w:r>
        <w:rPr>
          <w:rFonts w:hint="eastAsia"/>
          <w:highlight w:val="none"/>
        </w:rPr>
        <w:t>。</w:t>
      </w:r>
    </w:p>
    <w:p w14:paraId="564C800A">
      <w:pPr>
        <w:autoSpaceDE w:val="0"/>
        <w:autoSpaceDN w:val="0"/>
        <w:adjustRightInd w:val="0"/>
        <w:ind w:firstLine="480"/>
        <w:jc w:val="left"/>
        <w:rPr>
          <w:rFonts w:hint="eastAsia"/>
          <w:color w:val="000000"/>
          <w:kern w:val="0"/>
          <w:highlight w:val="none"/>
        </w:rPr>
      </w:pPr>
      <w:r>
        <w:rPr>
          <w:rFonts w:hint="eastAsia"/>
          <w:color w:val="000000"/>
          <w:kern w:val="0"/>
          <w:highlight w:val="none"/>
        </w:rPr>
        <w:t>（2）逾期付款超过90日的，视为甲方不履行，乙方有权要求甲方继续履行或解除合同。</w:t>
      </w:r>
    </w:p>
    <w:p w14:paraId="2EDF20C0">
      <w:pPr>
        <w:autoSpaceDE w:val="0"/>
        <w:autoSpaceDN w:val="0"/>
        <w:adjustRightInd w:val="0"/>
        <w:ind w:firstLine="480"/>
        <w:jc w:val="left"/>
        <w:rPr>
          <w:rFonts w:hint="eastAsia"/>
          <w:color w:val="000000"/>
          <w:kern w:val="0"/>
          <w:highlight w:val="none"/>
        </w:rPr>
      </w:pPr>
      <w:r>
        <w:rPr>
          <w:rFonts w:hint="eastAsia"/>
          <w:color w:val="000000"/>
          <w:kern w:val="0"/>
          <w:highlight w:val="none"/>
        </w:rPr>
        <w:t>3、合同签订后，如需解除合同，须经合同双方协商一致。单方面终止合同，终止方应支付合同总金额5%的违约金。</w:t>
      </w:r>
    </w:p>
    <w:p w14:paraId="660E95BF">
      <w:pPr>
        <w:autoSpaceDE w:val="0"/>
        <w:autoSpaceDN w:val="0"/>
        <w:adjustRightInd w:val="0"/>
        <w:ind w:firstLine="480"/>
        <w:jc w:val="left"/>
        <w:rPr>
          <w:rFonts w:hint="eastAsia"/>
          <w:color w:val="000000"/>
          <w:kern w:val="0"/>
          <w:highlight w:val="none"/>
        </w:rPr>
      </w:pPr>
      <w:r>
        <w:rPr>
          <w:rFonts w:hint="eastAsia"/>
          <w:color w:val="000000"/>
          <w:kern w:val="0"/>
          <w:highlight w:val="none"/>
        </w:rPr>
        <w:t>4、违反知识产权义务责任</w:t>
      </w:r>
    </w:p>
    <w:p w14:paraId="0A77D078">
      <w:pPr>
        <w:autoSpaceDE w:val="0"/>
        <w:autoSpaceDN w:val="0"/>
        <w:adjustRightInd w:val="0"/>
        <w:ind w:firstLine="480"/>
        <w:jc w:val="left"/>
        <w:rPr>
          <w:rFonts w:hint="eastAsia"/>
          <w:color w:val="000000"/>
          <w:kern w:val="0"/>
          <w:highlight w:val="none"/>
        </w:rPr>
      </w:pPr>
      <w:r>
        <w:rPr>
          <w:rFonts w:hint="eastAsia"/>
          <w:color w:val="000000"/>
          <w:kern w:val="0"/>
          <w:highlight w:val="none"/>
        </w:rPr>
        <w:t>任何一方违反本合同所约定的知识产权义务，未经对方书面同意，将对方享有知识产权的有关技术成果、计算机软件、源代码、数据信息、技术资料和文档擅自向第三方披露、转让或许可使用的，违约方除应当立即停止违约行为外，还应当赔偿由此给对方所造成的损失，如损失无法准确计算的，违约方应当支付相应违约金。</w:t>
      </w:r>
    </w:p>
    <w:p w14:paraId="6C3A9065">
      <w:pPr>
        <w:autoSpaceDE w:val="0"/>
        <w:autoSpaceDN w:val="0"/>
        <w:adjustRightInd w:val="0"/>
        <w:ind w:firstLine="480"/>
        <w:jc w:val="left"/>
        <w:rPr>
          <w:rFonts w:hint="eastAsia"/>
          <w:color w:val="000000"/>
          <w:kern w:val="0"/>
          <w:highlight w:val="none"/>
        </w:rPr>
      </w:pPr>
      <w:r>
        <w:rPr>
          <w:rFonts w:hint="eastAsia"/>
          <w:color w:val="000000"/>
          <w:kern w:val="0"/>
          <w:highlight w:val="none"/>
        </w:rPr>
        <w:t>5、违反保密义务责任</w:t>
      </w:r>
    </w:p>
    <w:p w14:paraId="3F44A91A">
      <w:pPr>
        <w:autoSpaceDE w:val="0"/>
        <w:autoSpaceDN w:val="0"/>
        <w:adjustRightInd w:val="0"/>
        <w:ind w:firstLine="480"/>
        <w:jc w:val="left"/>
        <w:rPr>
          <w:rFonts w:hint="eastAsia"/>
          <w:color w:val="000000"/>
          <w:kern w:val="0"/>
          <w:highlight w:val="none"/>
        </w:rPr>
      </w:pPr>
      <w:r>
        <w:rPr>
          <w:rFonts w:hint="eastAsia"/>
          <w:color w:val="000000"/>
          <w:kern w:val="0"/>
          <w:highlight w:val="none"/>
        </w:rPr>
        <w:t>任何一方违反本合同所约定的保密义务，违约方应当支付相应违约金。</w:t>
      </w:r>
    </w:p>
    <w:p w14:paraId="73EF48B7">
      <w:pPr>
        <w:rPr>
          <w:rFonts w:hint="eastAsia"/>
          <w:b/>
          <w:bCs/>
          <w:sz w:val="22"/>
          <w:szCs w:val="22"/>
          <w:highlight w:val="none"/>
        </w:rPr>
      </w:pPr>
      <w:r>
        <w:rPr>
          <w:rFonts w:hint="eastAsia"/>
          <w:b/>
          <w:bCs/>
          <w:sz w:val="22"/>
          <w:szCs w:val="22"/>
          <w:highlight w:val="none"/>
        </w:rPr>
        <w:t>第九条 合同的解除和终止</w:t>
      </w:r>
    </w:p>
    <w:p w14:paraId="52D4BC25">
      <w:pPr>
        <w:autoSpaceDE w:val="0"/>
        <w:autoSpaceDN w:val="0"/>
        <w:adjustRightInd w:val="0"/>
        <w:ind w:left="2" w:firstLine="360"/>
        <w:jc w:val="left"/>
        <w:rPr>
          <w:rFonts w:hint="eastAsia"/>
          <w:color w:val="000000"/>
          <w:kern w:val="0"/>
          <w:highlight w:val="none"/>
        </w:rPr>
      </w:pPr>
      <w:r>
        <w:rPr>
          <w:rFonts w:hint="eastAsia"/>
          <w:color w:val="000000"/>
          <w:kern w:val="0"/>
          <w:highlight w:val="none"/>
        </w:rPr>
        <w:t xml:space="preserve"> 1、本合同生效后，除法律法规和本合同另有规定外，任何一方不得随意单方变更或解除合同，否则应当承担违约责任。</w:t>
      </w:r>
    </w:p>
    <w:p w14:paraId="467B4E9E">
      <w:pPr>
        <w:autoSpaceDE w:val="0"/>
        <w:autoSpaceDN w:val="0"/>
        <w:adjustRightInd w:val="0"/>
        <w:ind w:left="2" w:firstLine="480"/>
        <w:jc w:val="left"/>
        <w:rPr>
          <w:rFonts w:hint="eastAsia"/>
          <w:color w:val="000000"/>
          <w:kern w:val="0"/>
          <w:highlight w:val="none"/>
        </w:rPr>
      </w:pPr>
      <w:r>
        <w:rPr>
          <w:rFonts w:hint="eastAsia"/>
          <w:color w:val="000000"/>
          <w:kern w:val="0"/>
          <w:highlight w:val="none"/>
        </w:rPr>
        <w:t>2、甲乙双方各自履行完毕本合同的全部义务后，本合同终止。</w:t>
      </w:r>
    </w:p>
    <w:p w14:paraId="47A01BED">
      <w:pPr>
        <w:rPr>
          <w:rFonts w:hint="eastAsia"/>
          <w:b/>
          <w:bCs/>
          <w:sz w:val="22"/>
          <w:szCs w:val="22"/>
          <w:highlight w:val="none"/>
        </w:rPr>
      </w:pPr>
      <w:r>
        <w:rPr>
          <w:rFonts w:hint="eastAsia"/>
          <w:b/>
          <w:bCs/>
          <w:sz w:val="22"/>
          <w:szCs w:val="22"/>
          <w:highlight w:val="none"/>
        </w:rPr>
        <w:t xml:space="preserve">第十条  通知与送达 </w:t>
      </w:r>
    </w:p>
    <w:p w14:paraId="1FD708D2">
      <w:pPr>
        <w:autoSpaceDE w:val="0"/>
        <w:autoSpaceDN w:val="0"/>
        <w:adjustRightInd w:val="0"/>
        <w:ind w:left="2" w:firstLine="360"/>
        <w:jc w:val="left"/>
        <w:rPr>
          <w:rFonts w:hint="eastAsia"/>
          <w:color w:val="000000"/>
          <w:kern w:val="0"/>
          <w:highlight w:val="none"/>
        </w:rPr>
      </w:pPr>
      <w:r>
        <w:rPr>
          <w:rFonts w:hint="eastAsia"/>
          <w:color w:val="000000"/>
          <w:kern w:val="0"/>
          <w:highlight w:val="none"/>
        </w:rPr>
        <w:t>1、合同各方一致确认以下通讯地址和联系方式为各方履行合同、解决合同争议时向接受其他方商业文件信函或司法机关文书的送达地址和联系方式。</w:t>
      </w:r>
    </w:p>
    <w:p w14:paraId="480CF08D">
      <w:pPr>
        <w:autoSpaceDE w:val="0"/>
        <w:autoSpaceDN w:val="0"/>
        <w:adjustRightInd w:val="0"/>
        <w:ind w:left="2" w:firstLine="360"/>
        <w:jc w:val="left"/>
        <w:rPr>
          <w:rFonts w:hint="eastAsia"/>
          <w:color w:val="000000"/>
          <w:kern w:val="0"/>
          <w:highlight w:val="none"/>
        </w:rPr>
      </w:pPr>
      <w:r>
        <w:rPr>
          <w:rFonts w:hint="eastAsia"/>
          <w:color w:val="000000"/>
          <w:kern w:val="0"/>
          <w:highlight w:val="none"/>
        </w:rPr>
        <w:t>2、合同各方均承诺：上述确认的通讯地址和联系方式真实有效，如有错误，导致的商业信函和诉讼文书送达不能的法律后果由己方承担。</w:t>
      </w:r>
    </w:p>
    <w:p w14:paraId="3B85A307">
      <w:pPr>
        <w:autoSpaceDE w:val="0"/>
        <w:autoSpaceDN w:val="0"/>
        <w:adjustRightInd w:val="0"/>
        <w:ind w:left="2" w:firstLine="360"/>
        <w:jc w:val="left"/>
        <w:rPr>
          <w:rFonts w:hint="eastAsia"/>
          <w:color w:val="000000"/>
          <w:kern w:val="0"/>
          <w:highlight w:val="none"/>
        </w:rPr>
      </w:pPr>
      <w:r>
        <w:rPr>
          <w:rFonts w:hint="eastAsia"/>
          <w:color w:val="000000"/>
          <w:kern w:val="0"/>
          <w:highlight w:val="none"/>
        </w:rPr>
        <w:t>3、本合同项下任何一方向对方发出的通知、信件、数据电文等，应当发送至本合同下列约定的地址、联系人和联系方式。一方当事人变更名称、地址、联系人或联系方式的，应当在变更后五日内及时书面通知对方当事人，对方当事人实际收到变更通知前的送达仍为有效送达，电子送达与书面送达具有同等法律效力。</w:t>
      </w:r>
    </w:p>
    <w:p w14:paraId="1FB997EA">
      <w:pPr>
        <w:autoSpaceDE w:val="0"/>
        <w:autoSpaceDN w:val="0"/>
        <w:adjustRightInd w:val="0"/>
        <w:ind w:left="2" w:firstLine="360"/>
        <w:jc w:val="left"/>
        <w:rPr>
          <w:rFonts w:hint="eastAsia"/>
          <w:color w:val="000000"/>
          <w:kern w:val="0"/>
          <w:highlight w:val="none"/>
        </w:rPr>
      </w:pPr>
      <w:r>
        <w:rPr>
          <w:rFonts w:hint="eastAsia"/>
          <w:color w:val="000000"/>
          <w:kern w:val="0"/>
          <w:highlight w:val="none"/>
        </w:rPr>
        <w:t>4、合同各方均明知：因载明的地址有误、或未及时告知变更后的地址、或者当事人和指定接收人拒绝接收等原因，导致相关文书及诉讼文书未能实际被接收的、邮寄送达的，以文书退回之日即视为送达之日。一方当事人向对方所发出的书面函件，应以挂号信或特快专递的方式邮寄，函件签收的，以函件签收为送达，函件未签收的，以邮件寄出（以邮戳为准）后的第二日视为送达；发出的短信/传真/微信/电子邮件，自前述电子文件内容在发送方正确填写地址且未被系统退回的情况下，视为进入对方数据电文接收系统，即视为送达；被系统退回且非发件方原因的，则以前述电子文件退回之日视为进入对方数据电子接收系统，即视为送达。若送达日为非工作日, 则视为在下一工作日送达。</w:t>
      </w:r>
    </w:p>
    <w:p w14:paraId="1E041210">
      <w:pPr>
        <w:autoSpaceDE w:val="0"/>
        <w:autoSpaceDN w:val="0"/>
        <w:adjustRightInd w:val="0"/>
        <w:ind w:left="2" w:firstLine="360"/>
        <w:jc w:val="left"/>
        <w:rPr>
          <w:rFonts w:hint="eastAsia"/>
          <w:color w:val="000000"/>
          <w:kern w:val="0"/>
          <w:highlight w:val="none"/>
        </w:rPr>
      </w:pPr>
      <w:r>
        <w:rPr>
          <w:rFonts w:hint="eastAsia"/>
          <w:color w:val="000000"/>
          <w:kern w:val="0"/>
          <w:highlight w:val="none"/>
        </w:rPr>
        <w:t>5、本合同约定的合同各方的联系地址、联系人、联系方式为各方工作联系往来、法律文书及争议解决时人民法院/仲裁机构的法律文书送达地址，人民法院/仲裁机构的诉讼文书（含裁判文书）向任何合同任何一方当事人的上述地址送达的，视为有效送达。当事人对电子通信终端的送达适用于争议解决时的送达。</w:t>
      </w:r>
    </w:p>
    <w:p w14:paraId="167E735F">
      <w:pPr>
        <w:autoSpaceDE w:val="0"/>
        <w:autoSpaceDN w:val="0"/>
        <w:adjustRightInd w:val="0"/>
        <w:ind w:left="2" w:firstLine="360"/>
        <w:jc w:val="left"/>
        <w:rPr>
          <w:rFonts w:hint="eastAsia"/>
          <w:color w:val="000000"/>
          <w:kern w:val="0"/>
          <w:highlight w:val="none"/>
        </w:rPr>
      </w:pPr>
      <w:r>
        <w:rPr>
          <w:rFonts w:hint="eastAsia"/>
          <w:color w:val="000000"/>
          <w:kern w:val="0"/>
          <w:highlight w:val="none"/>
        </w:rPr>
        <w:t>6、通知与送达条款的适用范围包括合同各签约方非诉时各类通知、协议等文件以及就合同发生纠纷时相关文件和法律文书的送达，同时包括在争议进入仲裁、民事诉讼程序后的一审、二审、再审和执行程序。</w:t>
      </w:r>
    </w:p>
    <w:p w14:paraId="6DBCFF3E">
      <w:pPr>
        <w:autoSpaceDE w:val="0"/>
        <w:autoSpaceDN w:val="0"/>
        <w:adjustRightInd w:val="0"/>
        <w:ind w:left="2" w:firstLine="360"/>
        <w:jc w:val="left"/>
        <w:rPr>
          <w:rFonts w:hint="eastAsia"/>
          <w:color w:val="000000"/>
          <w:kern w:val="0"/>
          <w:highlight w:val="none"/>
        </w:rPr>
      </w:pPr>
      <w:r>
        <w:rPr>
          <w:rFonts w:hint="eastAsia"/>
          <w:color w:val="000000"/>
          <w:kern w:val="0"/>
          <w:highlight w:val="none"/>
        </w:rPr>
        <w:t>7、本合同中的通知与送达条款为独立条款，即使本合同变更、撤销、解除、终止或认定无效的，该条款约定依然有效。</w:t>
      </w:r>
    </w:p>
    <w:p w14:paraId="55179903">
      <w:pPr>
        <w:spacing w:before="156" w:beforeLines="50"/>
        <w:ind w:firstLine="210" w:firstLineChars="100"/>
        <w:rPr>
          <w:rFonts w:hint="eastAsia"/>
          <w:highlight w:val="none"/>
          <w:u w:val="single"/>
        </w:rPr>
      </w:pPr>
      <w:r>
        <w:rPr>
          <w:rFonts w:hint="eastAsia"/>
          <w:highlight w:val="none"/>
        </w:rPr>
        <w:t xml:space="preserve">甲方地址： </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乙方地址：</w:t>
      </w:r>
      <w:r>
        <w:rPr>
          <w:rFonts w:hint="eastAsia"/>
          <w:highlight w:val="none"/>
          <w:u w:val="single"/>
        </w:rPr>
        <w:t xml:space="preserve">            </w:t>
      </w:r>
    </w:p>
    <w:p w14:paraId="1421DBB1">
      <w:pPr>
        <w:spacing w:before="156" w:beforeLines="50"/>
        <w:ind w:firstLine="1470" w:firstLineChars="700"/>
        <w:rPr>
          <w:rFonts w:hint="eastAsia"/>
          <w:bCs/>
          <w:highlight w:val="none"/>
        </w:rPr>
      </w:pPr>
      <w:r>
        <w:rPr>
          <w:rFonts w:hint="eastAsia"/>
          <w:highlight w:val="none"/>
        </w:rPr>
        <w:t xml:space="preserve">    </w:t>
      </w:r>
      <w:r>
        <w:rPr>
          <w:rFonts w:hint="eastAsia"/>
          <w:bCs/>
          <w:highlight w:val="none"/>
        </w:rPr>
        <w:t xml:space="preserve">                         </w:t>
      </w:r>
    </w:p>
    <w:p w14:paraId="26763BFD">
      <w:pPr>
        <w:spacing w:before="156" w:beforeLines="50"/>
        <w:ind w:firstLine="210" w:firstLineChars="100"/>
        <w:rPr>
          <w:rFonts w:hint="eastAsia"/>
          <w:bCs/>
          <w:highlight w:val="none"/>
        </w:rPr>
      </w:pPr>
      <w:r>
        <w:rPr>
          <w:rFonts w:hint="eastAsia"/>
          <w:bCs/>
          <w:highlight w:val="none"/>
        </w:rPr>
        <w:t>联系电话：</w:t>
      </w:r>
      <w:r>
        <w:rPr>
          <w:rFonts w:hint="eastAsia"/>
          <w:bCs/>
          <w:highlight w:val="none"/>
          <w:lang w:val="en-US" w:eastAsia="zh-CN"/>
        </w:rPr>
        <w:t xml:space="preserve">            </w:t>
      </w:r>
      <w:r>
        <w:rPr>
          <w:rFonts w:hint="eastAsia"/>
          <w:bCs/>
          <w:highlight w:val="none"/>
        </w:rPr>
        <w:t xml:space="preserve">               联系电话：</w:t>
      </w:r>
    </w:p>
    <w:p w14:paraId="2F92EA51">
      <w:pPr>
        <w:spacing w:before="156" w:beforeLines="50"/>
        <w:ind w:firstLine="210" w:firstLineChars="100"/>
        <w:rPr>
          <w:rFonts w:hint="eastAsia"/>
          <w:bCs/>
          <w:highlight w:val="none"/>
        </w:rPr>
      </w:pPr>
      <w:r>
        <w:rPr>
          <w:rFonts w:hint="eastAsia"/>
          <w:bCs/>
          <w:highlight w:val="none"/>
        </w:rPr>
        <w:t xml:space="preserve">邮编：                         </w:t>
      </w:r>
      <w:r>
        <w:rPr>
          <w:rFonts w:hint="eastAsia"/>
          <w:bCs/>
          <w:highlight w:val="none"/>
          <w:lang w:val="en-US" w:eastAsia="zh-CN"/>
        </w:rPr>
        <w:t xml:space="preserve">      </w:t>
      </w:r>
      <w:r>
        <w:rPr>
          <w:rFonts w:hint="eastAsia"/>
          <w:bCs/>
          <w:highlight w:val="none"/>
        </w:rPr>
        <w:t>邮编：</w:t>
      </w:r>
    </w:p>
    <w:p w14:paraId="1FA9D523">
      <w:pPr>
        <w:spacing w:before="156" w:beforeLines="50"/>
        <w:ind w:firstLine="210" w:firstLineChars="100"/>
        <w:rPr>
          <w:rFonts w:hint="eastAsia"/>
          <w:bCs/>
          <w:highlight w:val="none"/>
        </w:rPr>
      </w:pPr>
      <w:r>
        <w:rPr>
          <w:rFonts w:hint="eastAsia"/>
          <w:bCs/>
          <w:highlight w:val="none"/>
        </w:rPr>
        <w:t xml:space="preserve">联系人：                       </w:t>
      </w:r>
      <w:r>
        <w:rPr>
          <w:rFonts w:hint="eastAsia"/>
          <w:bCs/>
          <w:highlight w:val="none"/>
          <w:lang w:val="en-US" w:eastAsia="zh-CN"/>
        </w:rPr>
        <w:t xml:space="preserve">      </w:t>
      </w:r>
      <w:r>
        <w:rPr>
          <w:rFonts w:hint="eastAsia"/>
          <w:bCs/>
          <w:highlight w:val="none"/>
        </w:rPr>
        <w:t>联系人：</w:t>
      </w:r>
    </w:p>
    <w:p w14:paraId="2B4B86C0">
      <w:pPr>
        <w:autoSpaceDE w:val="0"/>
        <w:autoSpaceDN w:val="0"/>
        <w:adjustRightInd w:val="0"/>
        <w:ind w:left="2" w:firstLine="360"/>
        <w:jc w:val="left"/>
        <w:rPr>
          <w:rFonts w:hint="eastAsia"/>
          <w:color w:val="000000"/>
          <w:kern w:val="0"/>
          <w:highlight w:val="none"/>
        </w:rPr>
      </w:pPr>
      <w:r>
        <w:rPr>
          <w:rFonts w:hint="eastAsia"/>
          <w:color w:val="000000"/>
          <w:kern w:val="0"/>
          <w:highlight w:val="none"/>
        </w:rPr>
        <w:t xml:space="preserve"> </w:t>
      </w:r>
    </w:p>
    <w:p w14:paraId="149F3E89">
      <w:pPr>
        <w:rPr>
          <w:rFonts w:hint="eastAsia"/>
          <w:b/>
          <w:bCs/>
          <w:sz w:val="22"/>
          <w:szCs w:val="22"/>
          <w:highlight w:val="none"/>
        </w:rPr>
      </w:pPr>
      <w:r>
        <w:rPr>
          <w:rFonts w:hint="eastAsia"/>
          <w:b/>
          <w:bCs/>
          <w:sz w:val="22"/>
          <w:szCs w:val="22"/>
          <w:highlight w:val="none"/>
        </w:rPr>
        <w:t>第十一条 不可抗力</w:t>
      </w:r>
    </w:p>
    <w:p w14:paraId="1F2B5C9B">
      <w:pPr>
        <w:autoSpaceDE w:val="0"/>
        <w:autoSpaceDN w:val="0"/>
        <w:adjustRightInd w:val="0"/>
        <w:ind w:firstLine="465"/>
        <w:jc w:val="left"/>
        <w:rPr>
          <w:rFonts w:hint="eastAsia"/>
          <w:color w:val="000000"/>
          <w:kern w:val="0"/>
          <w:highlight w:val="none"/>
        </w:rPr>
      </w:pPr>
      <w:r>
        <w:rPr>
          <w:rFonts w:hint="eastAsia"/>
          <w:color w:val="000000"/>
          <w:kern w:val="0"/>
          <w:highlight w:val="none"/>
        </w:rPr>
        <w:t>本条所述的“不可抗力”指的是下列不能预见、不能控制的事件，但不包括乙方的违约或疏忽，这些事件主要包括重大自然灾害（洪水、台风、地震、泥石流等）、政府行为、重大社会非正常事件。</w:t>
      </w:r>
    </w:p>
    <w:p w14:paraId="19A7D4DC">
      <w:pPr>
        <w:autoSpaceDE w:val="0"/>
        <w:autoSpaceDN w:val="0"/>
        <w:adjustRightInd w:val="0"/>
        <w:ind w:firstLine="465"/>
        <w:jc w:val="left"/>
        <w:rPr>
          <w:rFonts w:hint="eastAsia"/>
          <w:color w:val="000000"/>
          <w:kern w:val="0"/>
          <w:highlight w:val="none"/>
        </w:rPr>
      </w:pPr>
      <w:r>
        <w:rPr>
          <w:rFonts w:hint="eastAsia"/>
          <w:color w:val="000000"/>
          <w:kern w:val="0"/>
          <w:highlight w:val="none"/>
        </w:rPr>
        <w:t>一方当事人因不可抗力不能按照约定履行本合同的，根据不可抗力的影响，可部分或全部免除责任，但是法律另有规定的除外。但应当及时告知对方，以减轻可能给对方造成的损失，并自不可抗力结束之日起15日内向对方当事人提供证明。</w:t>
      </w:r>
    </w:p>
    <w:p w14:paraId="45361B6B">
      <w:pPr>
        <w:autoSpaceDE w:val="0"/>
        <w:autoSpaceDN w:val="0"/>
        <w:adjustRightInd w:val="0"/>
        <w:ind w:firstLine="465"/>
        <w:jc w:val="left"/>
        <w:rPr>
          <w:rFonts w:hint="eastAsia"/>
          <w:color w:val="000000"/>
          <w:kern w:val="0"/>
          <w:highlight w:val="none"/>
        </w:rPr>
      </w:pPr>
      <w:r>
        <w:rPr>
          <w:rFonts w:hint="eastAsia"/>
          <w:color w:val="000000"/>
          <w:kern w:val="0"/>
          <w:highlight w:val="none"/>
        </w:rPr>
        <w:t>当事人迟延履行后发生不可抗力的，不免除其违约责任。</w:t>
      </w:r>
    </w:p>
    <w:p w14:paraId="4E5FE438">
      <w:pPr>
        <w:rPr>
          <w:rFonts w:hint="eastAsia"/>
          <w:b/>
          <w:bCs/>
          <w:sz w:val="22"/>
          <w:szCs w:val="22"/>
          <w:highlight w:val="none"/>
        </w:rPr>
      </w:pPr>
      <w:r>
        <w:rPr>
          <w:rFonts w:hint="eastAsia"/>
          <w:b/>
          <w:bCs/>
          <w:sz w:val="22"/>
          <w:szCs w:val="22"/>
          <w:highlight w:val="none"/>
        </w:rPr>
        <w:t>第十二条 争议解决方式</w:t>
      </w:r>
    </w:p>
    <w:p w14:paraId="73BB7827">
      <w:pPr>
        <w:autoSpaceDE w:val="0"/>
        <w:autoSpaceDN w:val="0"/>
        <w:adjustRightInd w:val="0"/>
        <w:ind w:firstLine="480"/>
        <w:jc w:val="left"/>
        <w:rPr>
          <w:rFonts w:hint="eastAsia"/>
          <w:color w:val="000000"/>
          <w:kern w:val="0"/>
          <w:highlight w:val="none"/>
        </w:rPr>
      </w:pPr>
      <w:r>
        <w:rPr>
          <w:rFonts w:hint="eastAsia"/>
          <w:color w:val="000000"/>
          <w:kern w:val="0"/>
          <w:highlight w:val="none"/>
        </w:rPr>
        <w:t>本合同项下所发生的争议，由双方协商解决，协商不成的，任意一方均</w:t>
      </w:r>
      <w:r>
        <w:rPr>
          <w:rFonts w:hint="eastAsia"/>
          <w:color w:val="000000"/>
          <w:kern w:val="0"/>
          <w:highlight w:val="none"/>
          <w:lang w:eastAsia="zh-CN"/>
        </w:rPr>
        <w:t>有权向鲁山县</w:t>
      </w:r>
      <w:r>
        <w:rPr>
          <w:rFonts w:hint="eastAsia"/>
          <w:color w:val="000000"/>
          <w:kern w:val="0"/>
          <w:highlight w:val="none"/>
        </w:rPr>
        <w:t>人民法院提起诉讼。</w:t>
      </w:r>
    </w:p>
    <w:p w14:paraId="4C1F589A">
      <w:pPr>
        <w:rPr>
          <w:rFonts w:hint="eastAsia"/>
          <w:b/>
          <w:bCs/>
          <w:sz w:val="22"/>
          <w:szCs w:val="22"/>
          <w:highlight w:val="none"/>
        </w:rPr>
      </w:pPr>
      <w:r>
        <w:rPr>
          <w:rFonts w:hint="eastAsia"/>
          <w:b/>
          <w:bCs/>
          <w:sz w:val="22"/>
          <w:szCs w:val="22"/>
          <w:highlight w:val="none"/>
        </w:rPr>
        <w:t>第十三条 其他条款</w:t>
      </w:r>
    </w:p>
    <w:p w14:paraId="12D57FC6">
      <w:pPr>
        <w:autoSpaceDE w:val="0"/>
        <w:autoSpaceDN w:val="0"/>
        <w:adjustRightInd w:val="0"/>
        <w:ind w:firstLine="480"/>
        <w:jc w:val="left"/>
        <w:rPr>
          <w:rFonts w:hint="eastAsia"/>
          <w:color w:val="000000"/>
          <w:kern w:val="0"/>
          <w:highlight w:val="none"/>
        </w:rPr>
      </w:pPr>
      <w:r>
        <w:rPr>
          <w:rFonts w:hint="eastAsia"/>
          <w:color w:val="000000"/>
          <w:kern w:val="0"/>
          <w:highlight w:val="none"/>
        </w:rPr>
        <w:t>1、本合同自双方签字盖章之日起生效。</w:t>
      </w:r>
    </w:p>
    <w:p w14:paraId="4C0154DF">
      <w:pPr>
        <w:autoSpaceDE w:val="0"/>
        <w:autoSpaceDN w:val="0"/>
        <w:adjustRightInd w:val="0"/>
        <w:ind w:firstLine="480"/>
        <w:jc w:val="left"/>
        <w:rPr>
          <w:rFonts w:hint="eastAsia"/>
          <w:kern w:val="0"/>
          <w:highlight w:val="none"/>
        </w:rPr>
      </w:pPr>
      <w:r>
        <w:rPr>
          <w:rFonts w:hint="eastAsia"/>
          <w:kern w:val="0"/>
          <w:highlight w:val="none"/>
        </w:rPr>
        <w:t>2、本合同一式</w:t>
      </w:r>
      <w:r>
        <w:rPr>
          <w:rFonts w:hint="eastAsia"/>
          <w:kern w:val="0"/>
          <w:highlight w:val="none"/>
          <w:u w:val="single"/>
        </w:rPr>
        <w:t xml:space="preserve"> 肆 </w:t>
      </w:r>
      <w:r>
        <w:rPr>
          <w:rFonts w:hint="eastAsia"/>
          <w:kern w:val="0"/>
          <w:highlight w:val="none"/>
        </w:rPr>
        <w:t>份，其中甲方</w:t>
      </w:r>
      <w:r>
        <w:rPr>
          <w:rFonts w:hint="eastAsia"/>
          <w:kern w:val="0"/>
          <w:highlight w:val="none"/>
          <w:u w:val="single"/>
        </w:rPr>
        <w:t xml:space="preserve"> 贰  </w:t>
      </w:r>
      <w:r>
        <w:rPr>
          <w:rFonts w:hint="eastAsia"/>
          <w:kern w:val="0"/>
          <w:highlight w:val="none"/>
        </w:rPr>
        <w:t>份，乙方</w:t>
      </w:r>
      <w:r>
        <w:rPr>
          <w:rFonts w:hint="eastAsia"/>
          <w:kern w:val="0"/>
          <w:highlight w:val="none"/>
          <w:u w:val="single"/>
        </w:rPr>
        <w:t xml:space="preserve">  贰  </w:t>
      </w:r>
      <w:r>
        <w:rPr>
          <w:rFonts w:hint="eastAsia"/>
          <w:kern w:val="0"/>
          <w:highlight w:val="none"/>
        </w:rPr>
        <w:t>份，具同等法律效力。</w:t>
      </w:r>
    </w:p>
    <w:p w14:paraId="7D153774">
      <w:pPr>
        <w:autoSpaceDE w:val="0"/>
        <w:autoSpaceDN w:val="0"/>
        <w:adjustRightInd w:val="0"/>
        <w:ind w:firstLine="480"/>
        <w:jc w:val="left"/>
        <w:rPr>
          <w:rFonts w:hint="eastAsia"/>
          <w:color w:val="000000"/>
          <w:kern w:val="0"/>
          <w:highlight w:val="none"/>
        </w:rPr>
      </w:pPr>
      <w:r>
        <w:rPr>
          <w:rFonts w:hint="eastAsia"/>
          <w:color w:val="000000"/>
          <w:kern w:val="0"/>
          <w:highlight w:val="none"/>
        </w:rPr>
        <w:t>3、本项目磋商文件（如有招标，包括响应文件、成交通知书）、本合同附件以及合同履行过程中形成的各种书面文件，经双方签署确认后为本合同的组成部分，与本合同具有同等法律效力，解释的顺序除有特别说明外，以文件生成时间在后的为准。</w:t>
      </w:r>
    </w:p>
    <w:p w14:paraId="0D2F800E">
      <w:pPr>
        <w:autoSpaceDE w:val="0"/>
        <w:autoSpaceDN w:val="0"/>
        <w:adjustRightInd w:val="0"/>
        <w:ind w:firstLine="480"/>
        <w:jc w:val="left"/>
        <w:rPr>
          <w:rFonts w:hint="eastAsia"/>
          <w:color w:val="000000"/>
          <w:kern w:val="0"/>
          <w:highlight w:val="none"/>
        </w:rPr>
      </w:pPr>
      <w:r>
        <w:rPr>
          <w:rFonts w:hint="eastAsia"/>
          <w:color w:val="000000"/>
          <w:kern w:val="0"/>
          <w:highlight w:val="none"/>
        </w:rPr>
        <w:t>4、如遇国家税收政策调整，则按照调整后内容执行。</w:t>
      </w:r>
    </w:p>
    <w:p w14:paraId="29C2DA5E">
      <w:pPr>
        <w:autoSpaceDE w:val="0"/>
        <w:autoSpaceDN w:val="0"/>
        <w:adjustRightInd w:val="0"/>
        <w:ind w:firstLine="480"/>
        <w:jc w:val="left"/>
        <w:rPr>
          <w:rFonts w:hint="eastAsia"/>
          <w:color w:val="000000"/>
          <w:kern w:val="0"/>
          <w:highlight w:val="none"/>
        </w:rPr>
      </w:pPr>
      <w:r>
        <w:rPr>
          <w:rFonts w:hint="eastAsia"/>
          <w:color w:val="000000"/>
          <w:kern w:val="0"/>
          <w:highlight w:val="none"/>
        </w:rPr>
        <w:t>5、本合同未尽事宜，双方可协商签订补充协议，补充协议与本合同具有同等法律效力。</w:t>
      </w:r>
    </w:p>
    <w:p w14:paraId="05994DC7">
      <w:pPr>
        <w:autoSpaceDE w:val="0"/>
        <w:autoSpaceDN w:val="0"/>
        <w:adjustRightInd w:val="0"/>
        <w:jc w:val="left"/>
        <w:rPr>
          <w:rFonts w:hint="eastAsia"/>
          <w:b/>
          <w:color w:val="000000"/>
          <w:kern w:val="0"/>
          <w:highlight w:val="none"/>
        </w:rPr>
      </w:pPr>
      <w:r>
        <w:rPr>
          <w:rFonts w:hint="eastAsia"/>
          <w:color w:val="000000"/>
          <w:kern w:val="0"/>
          <w:highlight w:val="none"/>
        </w:rPr>
        <w:t xml:space="preserve">   </w:t>
      </w:r>
      <w:r>
        <w:rPr>
          <w:rFonts w:hint="eastAsia"/>
          <w:b/>
          <w:color w:val="000000"/>
          <w:kern w:val="0"/>
          <w:highlight w:val="none"/>
        </w:rPr>
        <w:t>（以下无正文）</w:t>
      </w:r>
    </w:p>
    <w:p w14:paraId="6ED8A99B">
      <w:pPr>
        <w:spacing w:line="400" w:lineRule="exact"/>
        <w:rPr>
          <w:rFonts w:hint="eastAsia"/>
          <w:color w:val="000000"/>
          <w:kern w:val="0"/>
          <w:highlight w:val="none"/>
        </w:rPr>
      </w:pPr>
      <w:r>
        <w:rPr>
          <w:rFonts w:hint="eastAsia"/>
          <w:kern w:val="0"/>
          <w:highlight w:val="none"/>
        </w:rPr>
        <w:t xml:space="preserve">甲      方：    </w:t>
      </w:r>
      <w:r>
        <w:rPr>
          <w:rFonts w:hint="eastAsia"/>
          <w:color w:val="000000"/>
          <w:kern w:val="0"/>
          <w:highlight w:val="none"/>
        </w:rPr>
        <w:t xml:space="preserve">                       乙      方：</w:t>
      </w:r>
    </w:p>
    <w:p w14:paraId="1894038A">
      <w:pPr>
        <w:spacing w:line="400" w:lineRule="exact"/>
        <w:ind w:firstLine="2526" w:firstLineChars="1203"/>
        <w:rPr>
          <w:rFonts w:hint="eastAsia"/>
          <w:color w:val="000000"/>
          <w:kern w:val="0"/>
          <w:highlight w:val="none"/>
        </w:rPr>
      </w:pPr>
      <w:r>
        <w:rPr>
          <w:rFonts w:hint="eastAsia"/>
          <w:color w:val="000000"/>
          <w:kern w:val="0"/>
          <w:highlight w:val="none"/>
        </w:rPr>
        <w:t xml:space="preserve">                           </w:t>
      </w:r>
    </w:p>
    <w:p w14:paraId="5DB806DF">
      <w:pPr>
        <w:spacing w:line="400" w:lineRule="exact"/>
        <w:rPr>
          <w:rFonts w:hint="eastAsia"/>
          <w:color w:val="000000"/>
          <w:kern w:val="0"/>
          <w:highlight w:val="none"/>
        </w:rPr>
      </w:pPr>
      <w:r>
        <w:rPr>
          <w:rFonts w:hint="eastAsia"/>
          <w:color w:val="000000"/>
          <w:kern w:val="0"/>
          <w:highlight w:val="none"/>
        </w:rPr>
        <w:t xml:space="preserve">法定代表人/授权代表人：               </w:t>
      </w:r>
      <w:r>
        <w:rPr>
          <w:rFonts w:hint="eastAsia"/>
          <w:color w:val="000000"/>
          <w:kern w:val="0"/>
          <w:highlight w:val="none"/>
          <w:lang w:val="en-US" w:eastAsia="zh-CN"/>
        </w:rPr>
        <w:t>法定代表人</w:t>
      </w:r>
      <w:r>
        <w:rPr>
          <w:rFonts w:hint="eastAsia"/>
          <w:color w:val="000000"/>
          <w:kern w:val="0"/>
          <w:highlight w:val="none"/>
        </w:rPr>
        <w:t>/授权代表人：</w:t>
      </w:r>
    </w:p>
    <w:p w14:paraId="2825BB93">
      <w:pPr>
        <w:rPr>
          <w:rFonts w:hint="eastAsia"/>
          <w:highlight w:val="none"/>
        </w:rPr>
      </w:pPr>
      <w:r>
        <w:rPr>
          <w:rFonts w:hint="eastAsia"/>
          <w:color w:val="000000"/>
          <w:kern w:val="0"/>
          <w:highlight w:val="none"/>
        </w:rPr>
        <w:t>日    期：   年    月    日            日    期：    年    月   日</w:t>
      </w:r>
    </w:p>
    <w:p w14:paraId="6CAD4BA3">
      <w:pPr>
        <w:autoSpaceDE w:val="0"/>
        <w:autoSpaceDN w:val="0"/>
        <w:adjustRightInd w:val="0"/>
        <w:jc w:val="center"/>
        <w:rPr>
          <w:rFonts w:hint="eastAsia"/>
          <w:b/>
          <w:bCs/>
          <w:color w:val="000000"/>
          <w:kern w:val="0"/>
          <w:sz w:val="24"/>
          <w:szCs w:val="24"/>
          <w:highlight w:val="none"/>
        </w:rPr>
      </w:pPr>
      <w:r>
        <w:rPr>
          <w:rFonts w:hint="eastAsia"/>
          <w:b/>
          <w:bCs/>
          <w:color w:val="000000"/>
          <w:kern w:val="0"/>
          <w:sz w:val="24"/>
          <w:szCs w:val="24"/>
          <w:highlight w:val="none"/>
        </w:rPr>
        <w:t xml:space="preserve"> </w:t>
      </w:r>
    </w:p>
    <w:p w14:paraId="28C94AD2">
      <w:pPr>
        <w:autoSpaceDE w:val="0"/>
        <w:autoSpaceDN w:val="0"/>
        <w:adjustRightInd w:val="0"/>
        <w:jc w:val="center"/>
        <w:rPr>
          <w:rFonts w:hint="eastAsia"/>
          <w:b/>
          <w:bCs/>
          <w:color w:val="000000"/>
          <w:kern w:val="0"/>
          <w:sz w:val="24"/>
          <w:szCs w:val="24"/>
          <w:highlight w:val="none"/>
        </w:rPr>
      </w:pPr>
      <w:r>
        <w:rPr>
          <w:rFonts w:hint="eastAsia"/>
          <w:b/>
          <w:bCs/>
          <w:color w:val="000000"/>
          <w:kern w:val="0"/>
          <w:sz w:val="24"/>
          <w:szCs w:val="24"/>
          <w:highlight w:val="none"/>
        </w:rPr>
        <w:t xml:space="preserve"> </w:t>
      </w:r>
    </w:p>
    <w:p w14:paraId="1D938D78">
      <w:pPr>
        <w:autoSpaceDE w:val="0"/>
        <w:autoSpaceDN w:val="0"/>
        <w:adjustRightInd w:val="0"/>
        <w:jc w:val="center"/>
        <w:rPr>
          <w:rFonts w:hint="eastAsia"/>
          <w:b/>
          <w:bCs/>
          <w:color w:val="000000"/>
          <w:kern w:val="0"/>
          <w:sz w:val="44"/>
          <w:szCs w:val="44"/>
          <w:highlight w:val="none"/>
        </w:rPr>
      </w:pPr>
      <w:r>
        <w:rPr>
          <w:rFonts w:hint="eastAsia"/>
          <w:b/>
          <w:bCs/>
          <w:color w:val="000000"/>
          <w:kern w:val="0"/>
          <w:sz w:val="44"/>
          <w:szCs w:val="44"/>
          <w:highlight w:val="none"/>
        </w:rPr>
        <w:t xml:space="preserve"> </w:t>
      </w:r>
    </w:p>
    <w:p w14:paraId="13B848FB">
      <w:pPr>
        <w:pStyle w:val="3"/>
        <w:numPr>
          <w:ilvl w:val="0"/>
          <w:numId w:val="0"/>
        </w:numPr>
        <w:spacing w:line="360" w:lineRule="auto"/>
        <w:jc w:val="center"/>
        <w:rPr>
          <w:rStyle w:val="26"/>
          <w:rFonts w:hint="default" w:ascii="宋体" w:hAnsi="宋体" w:eastAsia="宋体" w:cs="宋体"/>
          <w:b/>
          <w:bCs/>
          <w:color w:val="auto"/>
          <w:highlight w:val="none"/>
          <w:lang w:val="en-US" w:eastAsia="zh-CN"/>
        </w:rPr>
      </w:pPr>
      <w:r>
        <w:rPr>
          <w:rStyle w:val="26"/>
          <w:rFonts w:hint="eastAsia" w:ascii="宋体" w:hAnsi="宋体" w:eastAsia="宋体" w:cs="宋体"/>
          <w:b/>
          <w:bCs/>
          <w:color w:val="auto"/>
          <w:highlight w:val="none"/>
        </w:rPr>
        <w:br w:type="page"/>
      </w:r>
      <w:bookmarkStart w:id="551" w:name="_Toc29524"/>
      <w:r>
        <w:rPr>
          <w:rStyle w:val="26"/>
          <w:rFonts w:hint="eastAsia" w:ascii="宋体" w:hAnsi="宋体" w:eastAsia="宋体" w:cs="宋体"/>
          <w:b/>
          <w:bCs/>
          <w:color w:val="auto"/>
          <w:highlight w:val="none"/>
        </w:rPr>
        <w:t xml:space="preserve">第五章 </w:t>
      </w:r>
      <w:bookmarkEnd w:id="533"/>
      <w:bookmarkEnd w:id="534"/>
      <w:bookmarkEnd w:id="535"/>
      <w:bookmarkEnd w:id="536"/>
      <w:bookmarkEnd w:id="537"/>
      <w:bookmarkEnd w:id="538"/>
      <w:r>
        <w:rPr>
          <w:rStyle w:val="26"/>
          <w:rFonts w:hint="eastAsia" w:ascii="宋体" w:hAnsi="宋体" w:eastAsia="宋体" w:cs="宋体"/>
          <w:b/>
          <w:bCs/>
          <w:color w:val="auto"/>
          <w:highlight w:val="none"/>
          <w:lang w:val="en-US" w:eastAsia="zh-CN"/>
        </w:rPr>
        <w:t>采购内容及技术要求</w:t>
      </w:r>
      <w:bookmarkEnd w:id="551"/>
    </w:p>
    <w:bookmarkEnd w:id="539"/>
    <w:tbl>
      <w:tblPr>
        <w:tblStyle w:val="22"/>
        <w:tblpPr w:leftFromText="180" w:rightFromText="180" w:vertAnchor="text" w:horzAnchor="page" w:tblpX="1487" w:tblpY="804"/>
        <w:tblOverlap w:val="never"/>
        <w:tblW w:w="46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6"/>
        <w:gridCol w:w="1002"/>
        <w:gridCol w:w="2120"/>
        <w:gridCol w:w="2920"/>
        <w:gridCol w:w="1771"/>
      </w:tblGrid>
      <w:tr w14:paraId="0D62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pct"/>
            <w:tcBorders>
              <w:top w:val="single" w:color="000000" w:sz="8" w:space="0"/>
              <w:left w:val="single" w:color="000000" w:sz="8" w:space="0"/>
              <w:bottom w:val="single" w:color="000000" w:sz="8" w:space="0"/>
              <w:right w:val="single" w:color="000000" w:sz="8" w:space="0"/>
            </w:tcBorders>
            <w:noWrap w:val="0"/>
            <w:vAlign w:val="center"/>
          </w:tcPr>
          <w:p w14:paraId="4C76990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bookmarkStart w:id="552" w:name="_Hlt520273711"/>
            <w:bookmarkEnd w:id="552"/>
            <w:bookmarkStart w:id="553" w:name="_Hlt520271212"/>
            <w:bookmarkEnd w:id="553"/>
            <w:bookmarkStart w:id="554" w:name="_Hlt520350918"/>
            <w:bookmarkEnd w:id="554"/>
            <w:bookmarkStart w:id="555" w:name="_Hlt520274407"/>
            <w:bookmarkEnd w:id="555"/>
            <w:bookmarkStart w:id="556" w:name="_Hlt520350108"/>
            <w:bookmarkEnd w:id="556"/>
            <w:bookmarkStart w:id="557" w:name="_Hlt520274393"/>
            <w:bookmarkEnd w:id="557"/>
            <w:bookmarkStart w:id="558" w:name="_Toc11023"/>
            <w:bookmarkEnd w:id="558"/>
            <w:bookmarkStart w:id="559" w:name="_Hlt520343000"/>
            <w:bookmarkEnd w:id="559"/>
            <w:bookmarkStart w:id="560" w:name="_Hlt520343392"/>
            <w:bookmarkEnd w:id="560"/>
            <w:bookmarkStart w:id="561" w:name="_Hlt520274065"/>
            <w:bookmarkEnd w:id="561"/>
            <w:bookmarkStart w:id="562" w:name="_Toc74"/>
            <w:bookmarkStart w:id="563" w:name="_Toc22292"/>
            <w:r>
              <w:rPr>
                <w:rFonts w:hint="eastAsia" w:ascii="宋体" w:hAnsi="宋体" w:eastAsia="宋体" w:cs="宋体"/>
                <w:i w:val="0"/>
                <w:iCs w:val="0"/>
                <w:color w:val="000000"/>
                <w:kern w:val="0"/>
                <w:sz w:val="21"/>
                <w:szCs w:val="21"/>
                <w:highlight w:val="none"/>
                <w:u w:val="none"/>
                <w:lang w:val="en-US" w:eastAsia="zh-CN" w:bidi="ar"/>
              </w:rPr>
              <w:t>项</w:t>
            </w:r>
          </w:p>
        </w:tc>
        <w:tc>
          <w:tcPr>
            <w:tcW w:w="542" w:type="pct"/>
            <w:tcBorders>
              <w:top w:val="single" w:color="000000" w:sz="8" w:space="0"/>
              <w:left w:val="single" w:color="000000" w:sz="8" w:space="0"/>
              <w:bottom w:val="single" w:color="000000" w:sz="8" w:space="0"/>
              <w:right w:val="single" w:color="000000" w:sz="8" w:space="0"/>
            </w:tcBorders>
            <w:noWrap w:val="0"/>
            <w:vAlign w:val="center"/>
          </w:tcPr>
          <w:p w14:paraId="0EED244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147" w:type="pct"/>
            <w:tcBorders>
              <w:top w:val="single" w:color="000000" w:sz="8" w:space="0"/>
              <w:left w:val="single" w:color="000000" w:sz="8" w:space="0"/>
              <w:bottom w:val="single" w:color="000000" w:sz="8" w:space="0"/>
              <w:right w:val="single" w:color="000000" w:sz="8" w:space="0"/>
            </w:tcBorders>
            <w:noWrap w:val="0"/>
            <w:vAlign w:val="center"/>
          </w:tcPr>
          <w:p w14:paraId="4D4B519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服务项目</w:t>
            </w:r>
          </w:p>
        </w:tc>
        <w:tc>
          <w:tcPr>
            <w:tcW w:w="1579" w:type="pct"/>
            <w:tcBorders>
              <w:top w:val="single" w:color="000000" w:sz="8" w:space="0"/>
              <w:left w:val="single" w:color="000000" w:sz="8" w:space="0"/>
              <w:bottom w:val="single" w:color="000000" w:sz="8" w:space="0"/>
              <w:right w:val="single" w:color="000000" w:sz="8" w:space="0"/>
            </w:tcBorders>
            <w:noWrap w:val="0"/>
            <w:vAlign w:val="center"/>
          </w:tcPr>
          <w:p w14:paraId="25657D7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费用类型</w:t>
            </w:r>
          </w:p>
        </w:tc>
        <w:tc>
          <w:tcPr>
            <w:tcW w:w="958" w:type="pct"/>
            <w:tcBorders>
              <w:top w:val="single" w:color="000000" w:sz="8" w:space="0"/>
              <w:left w:val="single" w:color="000000" w:sz="8" w:space="0"/>
              <w:bottom w:val="single" w:color="000000" w:sz="8" w:space="0"/>
              <w:right w:val="single" w:color="000000" w:sz="8" w:space="0"/>
            </w:tcBorders>
            <w:noWrap w:val="0"/>
            <w:vAlign w:val="center"/>
          </w:tcPr>
          <w:p w14:paraId="738C545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金额（万元）</w:t>
            </w:r>
          </w:p>
        </w:tc>
      </w:tr>
      <w:tr w14:paraId="3E73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pct"/>
            <w:vMerge w:val="restart"/>
            <w:tcBorders>
              <w:top w:val="single" w:color="000000" w:sz="8" w:space="0"/>
              <w:left w:val="single" w:color="000000" w:sz="8" w:space="0"/>
              <w:bottom w:val="single" w:color="000000" w:sz="8" w:space="0"/>
              <w:right w:val="single" w:color="000000" w:sz="8" w:space="0"/>
            </w:tcBorders>
            <w:noWrap w:val="0"/>
            <w:vAlign w:val="center"/>
          </w:tcPr>
          <w:p w14:paraId="459229D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硬件升级服务</w:t>
            </w:r>
          </w:p>
        </w:tc>
        <w:tc>
          <w:tcPr>
            <w:tcW w:w="542" w:type="pct"/>
            <w:tcBorders>
              <w:top w:val="single" w:color="000000" w:sz="8" w:space="0"/>
              <w:left w:val="single" w:color="000000" w:sz="8" w:space="0"/>
              <w:bottom w:val="single" w:color="000000" w:sz="8" w:space="0"/>
              <w:right w:val="single" w:color="000000" w:sz="8" w:space="0"/>
            </w:tcBorders>
            <w:noWrap w:val="0"/>
            <w:vAlign w:val="center"/>
          </w:tcPr>
          <w:p w14:paraId="3F464E3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47" w:type="pct"/>
            <w:tcBorders>
              <w:top w:val="single" w:color="000000" w:sz="8" w:space="0"/>
              <w:left w:val="single" w:color="000000" w:sz="8" w:space="0"/>
              <w:bottom w:val="single" w:color="000000" w:sz="8" w:space="0"/>
              <w:right w:val="single" w:color="000000" w:sz="8" w:space="0"/>
            </w:tcBorders>
            <w:noWrap w:val="0"/>
            <w:vAlign w:val="center"/>
          </w:tcPr>
          <w:p w14:paraId="300F2EC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办公系统</w:t>
            </w:r>
          </w:p>
        </w:tc>
        <w:tc>
          <w:tcPr>
            <w:tcW w:w="1579" w:type="pct"/>
            <w:tcBorders>
              <w:top w:val="single" w:color="000000" w:sz="8" w:space="0"/>
              <w:left w:val="single" w:color="000000" w:sz="8" w:space="0"/>
              <w:bottom w:val="single" w:color="000000" w:sz="8" w:space="0"/>
              <w:right w:val="single" w:color="000000" w:sz="8" w:space="0"/>
            </w:tcBorders>
            <w:noWrap w:val="0"/>
            <w:vAlign w:val="center"/>
          </w:tcPr>
          <w:p w14:paraId="56C5512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复印机升级</w:t>
            </w:r>
          </w:p>
        </w:tc>
        <w:tc>
          <w:tcPr>
            <w:tcW w:w="958" w:type="pct"/>
            <w:tcBorders>
              <w:top w:val="single" w:color="000000" w:sz="8" w:space="0"/>
              <w:left w:val="single" w:color="000000" w:sz="8" w:space="0"/>
              <w:bottom w:val="single" w:color="000000" w:sz="8" w:space="0"/>
              <w:right w:val="single" w:color="000000" w:sz="8" w:space="0"/>
            </w:tcBorders>
            <w:noWrap w:val="0"/>
            <w:vAlign w:val="center"/>
          </w:tcPr>
          <w:p w14:paraId="6666D4E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p>
        </w:tc>
      </w:tr>
      <w:tr w14:paraId="4236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pct"/>
            <w:vMerge w:val="continue"/>
            <w:tcBorders>
              <w:top w:val="single" w:color="000000" w:sz="8" w:space="0"/>
              <w:left w:val="single" w:color="000000" w:sz="8" w:space="0"/>
              <w:bottom w:val="single" w:color="000000" w:sz="8" w:space="0"/>
              <w:right w:val="single" w:color="000000" w:sz="8" w:space="0"/>
            </w:tcBorders>
            <w:noWrap w:val="0"/>
            <w:vAlign w:val="center"/>
          </w:tcPr>
          <w:p w14:paraId="437177F5">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highlight w:val="none"/>
                <w:u w:val="none"/>
              </w:rPr>
            </w:pPr>
          </w:p>
        </w:tc>
        <w:tc>
          <w:tcPr>
            <w:tcW w:w="542" w:type="pct"/>
            <w:tcBorders>
              <w:top w:val="single" w:color="000000" w:sz="8" w:space="0"/>
              <w:left w:val="single" w:color="000000" w:sz="8" w:space="0"/>
              <w:bottom w:val="single" w:color="000000" w:sz="8" w:space="0"/>
              <w:right w:val="single" w:color="000000" w:sz="8" w:space="0"/>
            </w:tcBorders>
            <w:noWrap w:val="0"/>
            <w:vAlign w:val="center"/>
          </w:tcPr>
          <w:p w14:paraId="72857E9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47" w:type="pct"/>
            <w:tcBorders>
              <w:top w:val="single" w:color="000000" w:sz="8" w:space="0"/>
              <w:left w:val="single" w:color="000000" w:sz="8" w:space="0"/>
              <w:bottom w:val="single" w:color="000000" w:sz="8" w:space="0"/>
              <w:right w:val="single" w:color="000000" w:sz="8" w:space="0"/>
            </w:tcBorders>
            <w:noWrap w:val="0"/>
            <w:vAlign w:val="center"/>
          </w:tcPr>
          <w:p w14:paraId="2F39B2D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门禁与装修</w:t>
            </w:r>
          </w:p>
        </w:tc>
        <w:tc>
          <w:tcPr>
            <w:tcW w:w="1579" w:type="pct"/>
            <w:tcBorders>
              <w:top w:val="single" w:color="000000" w:sz="8" w:space="0"/>
              <w:left w:val="single" w:color="000000" w:sz="8" w:space="0"/>
              <w:bottom w:val="single" w:color="000000" w:sz="8" w:space="0"/>
              <w:right w:val="single" w:color="000000" w:sz="8" w:space="0"/>
            </w:tcBorders>
            <w:noWrap w:val="0"/>
            <w:vAlign w:val="center"/>
          </w:tcPr>
          <w:p w14:paraId="3BB34B5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升级</w:t>
            </w:r>
          </w:p>
        </w:tc>
        <w:tc>
          <w:tcPr>
            <w:tcW w:w="958" w:type="pct"/>
            <w:tcBorders>
              <w:top w:val="single" w:color="000000" w:sz="8" w:space="0"/>
              <w:left w:val="single" w:color="000000" w:sz="8" w:space="0"/>
              <w:bottom w:val="single" w:color="000000" w:sz="8" w:space="0"/>
              <w:right w:val="single" w:color="000000" w:sz="8" w:space="0"/>
            </w:tcBorders>
            <w:noWrap w:val="0"/>
            <w:vAlign w:val="center"/>
          </w:tcPr>
          <w:p w14:paraId="6B64F07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p>
        </w:tc>
      </w:tr>
      <w:tr w14:paraId="5C19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pct"/>
            <w:vMerge w:val="continue"/>
            <w:tcBorders>
              <w:top w:val="single" w:color="000000" w:sz="8" w:space="0"/>
              <w:left w:val="single" w:color="000000" w:sz="8" w:space="0"/>
              <w:bottom w:val="single" w:color="000000" w:sz="8" w:space="0"/>
              <w:right w:val="single" w:color="000000" w:sz="8" w:space="0"/>
            </w:tcBorders>
            <w:noWrap w:val="0"/>
            <w:vAlign w:val="center"/>
          </w:tcPr>
          <w:p w14:paraId="23A77598">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highlight w:val="none"/>
                <w:u w:val="none"/>
              </w:rPr>
            </w:pPr>
          </w:p>
        </w:tc>
        <w:tc>
          <w:tcPr>
            <w:tcW w:w="542" w:type="pct"/>
            <w:tcBorders>
              <w:top w:val="single" w:color="000000" w:sz="8" w:space="0"/>
              <w:left w:val="single" w:color="000000" w:sz="8" w:space="0"/>
              <w:bottom w:val="single" w:color="000000" w:sz="8" w:space="0"/>
              <w:right w:val="single" w:color="000000" w:sz="8" w:space="0"/>
            </w:tcBorders>
            <w:noWrap w:val="0"/>
            <w:vAlign w:val="center"/>
          </w:tcPr>
          <w:p w14:paraId="6B69145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147" w:type="pct"/>
            <w:tcBorders>
              <w:top w:val="single" w:color="000000" w:sz="8" w:space="0"/>
              <w:left w:val="single" w:color="000000" w:sz="8" w:space="0"/>
              <w:bottom w:val="single" w:color="000000" w:sz="8" w:space="0"/>
              <w:right w:val="single" w:color="000000" w:sz="8" w:space="0"/>
            </w:tcBorders>
            <w:noWrap w:val="0"/>
            <w:vAlign w:val="center"/>
          </w:tcPr>
          <w:p w14:paraId="42B9ABE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会议室多媒体</w:t>
            </w:r>
          </w:p>
        </w:tc>
        <w:tc>
          <w:tcPr>
            <w:tcW w:w="1579" w:type="pct"/>
            <w:tcBorders>
              <w:top w:val="single" w:color="000000" w:sz="8" w:space="0"/>
              <w:left w:val="single" w:color="000000" w:sz="8" w:space="0"/>
              <w:bottom w:val="single" w:color="000000" w:sz="8" w:space="0"/>
              <w:right w:val="single" w:color="000000" w:sz="8" w:space="0"/>
            </w:tcBorders>
            <w:noWrap w:val="0"/>
            <w:vAlign w:val="center"/>
          </w:tcPr>
          <w:p w14:paraId="17493DC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升级</w:t>
            </w:r>
          </w:p>
        </w:tc>
        <w:tc>
          <w:tcPr>
            <w:tcW w:w="958" w:type="pct"/>
            <w:tcBorders>
              <w:top w:val="single" w:color="000000" w:sz="8" w:space="0"/>
              <w:left w:val="single" w:color="000000" w:sz="8" w:space="0"/>
              <w:bottom w:val="single" w:color="000000" w:sz="8" w:space="0"/>
              <w:right w:val="single" w:color="000000" w:sz="8" w:space="0"/>
            </w:tcBorders>
            <w:noWrap w:val="0"/>
            <w:vAlign w:val="center"/>
          </w:tcPr>
          <w:p w14:paraId="3F681E1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p>
        </w:tc>
      </w:tr>
      <w:tr w14:paraId="6608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pct"/>
            <w:vMerge w:val="restart"/>
            <w:tcBorders>
              <w:top w:val="single" w:color="000000" w:sz="8" w:space="0"/>
              <w:left w:val="single" w:color="000000" w:sz="8" w:space="0"/>
              <w:bottom w:val="single" w:color="000000" w:sz="8" w:space="0"/>
              <w:right w:val="single" w:color="000000" w:sz="8" w:space="0"/>
            </w:tcBorders>
            <w:noWrap w:val="0"/>
            <w:vAlign w:val="center"/>
          </w:tcPr>
          <w:p w14:paraId="120F13D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软件升级服务</w:t>
            </w:r>
          </w:p>
        </w:tc>
        <w:tc>
          <w:tcPr>
            <w:tcW w:w="542" w:type="pct"/>
            <w:tcBorders>
              <w:top w:val="single" w:color="000000" w:sz="8" w:space="0"/>
              <w:left w:val="single" w:color="000000" w:sz="8" w:space="0"/>
              <w:bottom w:val="single" w:color="000000" w:sz="8" w:space="0"/>
              <w:right w:val="single" w:color="000000" w:sz="8" w:space="0"/>
            </w:tcBorders>
            <w:noWrap w:val="0"/>
            <w:vAlign w:val="center"/>
          </w:tcPr>
          <w:p w14:paraId="57FE70A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47" w:type="pct"/>
            <w:tcBorders>
              <w:top w:val="single" w:color="000000" w:sz="8" w:space="0"/>
              <w:left w:val="single" w:color="000000" w:sz="8" w:space="0"/>
              <w:bottom w:val="single" w:color="000000" w:sz="8" w:space="0"/>
              <w:right w:val="single" w:color="000000" w:sz="8" w:space="0"/>
            </w:tcBorders>
            <w:noWrap w:val="0"/>
            <w:vAlign w:val="center"/>
          </w:tcPr>
          <w:p w14:paraId="2EC7485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视频软件</w:t>
            </w:r>
          </w:p>
        </w:tc>
        <w:tc>
          <w:tcPr>
            <w:tcW w:w="1579" w:type="pct"/>
            <w:tcBorders>
              <w:top w:val="single" w:color="000000" w:sz="8" w:space="0"/>
              <w:left w:val="single" w:color="000000" w:sz="8" w:space="0"/>
              <w:bottom w:val="single" w:color="000000" w:sz="8" w:space="0"/>
              <w:right w:val="single" w:color="000000" w:sz="8" w:space="0"/>
            </w:tcBorders>
            <w:noWrap w:val="0"/>
            <w:vAlign w:val="center"/>
          </w:tcPr>
          <w:p w14:paraId="2782DA4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升级</w:t>
            </w:r>
          </w:p>
        </w:tc>
        <w:tc>
          <w:tcPr>
            <w:tcW w:w="958" w:type="pct"/>
            <w:tcBorders>
              <w:top w:val="single" w:color="000000" w:sz="8" w:space="0"/>
              <w:left w:val="single" w:color="000000" w:sz="8" w:space="0"/>
              <w:bottom w:val="single" w:color="000000" w:sz="8" w:space="0"/>
              <w:right w:val="single" w:color="000000" w:sz="8" w:space="0"/>
            </w:tcBorders>
            <w:noWrap w:val="0"/>
            <w:vAlign w:val="center"/>
          </w:tcPr>
          <w:p w14:paraId="5D2D557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p>
        </w:tc>
      </w:tr>
      <w:tr w14:paraId="2F70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pct"/>
            <w:vMerge w:val="continue"/>
            <w:tcBorders>
              <w:top w:val="single" w:color="000000" w:sz="8" w:space="0"/>
              <w:left w:val="single" w:color="000000" w:sz="8" w:space="0"/>
              <w:bottom w:val="single" w:color="000000" w:sz="8" w:space="0"/>
              <w:right w:val="single" w:color="000000" w:sz="8" w:space="0"/>
            </w:tcBorders>
            <w:noWrap w:val="0"/>
            <w:vAlign w:val="center"/>
          </w:tcPr>
          <w:p w14:paraId="6F985B64">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highlight w:val="none"/>
                <w:u w:val="none"/>
              </w:rPr>
            </w:pPr>
          </w:p>
        </w:tc>
        <w:tc>
          <w:tcPr>
            <w:tcW w:w="542" w:type="pct"/>
            <w:tcBorders>
              <w:top w:val="single" w:color="000000" w:sz="8" w:space="0"/>
              <w:left w:val="single" w:color="000000" w:sz="8" w:space="0"/>
              <w:bottom w:val="single" w:color="000000" w:sz="8" w:space="0"/>
              <w:right w:val="single" w:color="000000" w:sz="8" w:space="0"/>
            </w:tcBorders>
            <w:noWrap w:val="0"/>
            <w:vAlign w:val="center"/>
          </w:tcPr>
          <w:p w14:paraId="7A365A8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47" w:type="pct"/>
            <w:tcBorders>
              <w:top w:val="single" w:color="000000" w:sz="8" w:space="0"/>
              <w:left w:val="single" w:color="000000" w:sz="8" w:space="0"/>
              <w:bottom w:val="single" w:color="000000" w:sz="8" w:space="0"/>
              <w:right w:val="single" w:color="000000" w:sz="8" w:space="0"/>
            </w:tcBorders>
            <w:noWrap w:val="0"/>
            <w:vAlign w:val="center"/>
          </w:tcPr>
          <w:p w14:paraId="2D145B9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消防系统</w:t>
            </w:r>
          </w:p>
        </w:tc>
        <w:tc>
          <w:tcPr>
            <w:tcW w:w="1579" w:type="pct"/>
            <w:tcBorders>
              <w:top w:val="single" w:color="000000" w:sz="8" w:space="0"/>
              <w:left w:val="single" w:color="000000" w:sz="8" w:space="0"/>
              <w:bottom w:val="single" w:color="000000" w:sz="8" w:space="0"/>
              <w:right w:val="single" w:color="000000" w:sz="8" w:space="0"/>
            </w:tcBorders>
            <w:noWrap w:val="0"/>
            <w:vAlign w:val="center"/>
          </w:tcPr>
          <w:p w14:paraId="0B09904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升级改造</w:t>
            </w:r>
          </w:p>
        </w:tc>
        <w:tc>
          <w:tcPr>
            <w:tcW w:w="958" w:type="pct"/>
            <w:tcBorders>
              <w:top w:val="single" w:color="000000" w:sz="8" w:space="0"/>
              <w:left w:val="single" w:color="000000" w:sz="8" w:space="0"/>
              <w:bottom w:val="single" w:color="000000" w:sz="8" w:space="0"/>
              <w:right w:val="single" w:color="000000" w:sz="8" w:space="0"/>
            </w:tcBorders>
            <w:noWrap w:val="0"/>
            <w:vAlign w:val="center"/>
          </w:tcPr>
          <w:p w14:paraId="11043D0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p>
        </w:tc>
      </w:tr>
      <w:tr w14:paraId="7378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pct"/>
            <w:vMerge w:val="continue"/>
            <w:tcBorders>
              <w:top w:val="single" w:color="000000" w:sz="8" w:space="0"/>
              <w:left w:val="single" w:color="000000" w:sz="8" w:space="0"/>
              <w:bottom w:val="single" w:color="000000" w:sz="8" w:space="0"/>
              <w:right w:val="single" w:color="000000" w:sz="8" w:space="0"/>
            </w:tcBorders>
            <w:noWrap w:val="0"/>
            <w:vAlign w:val="center"/>
          </w:tcPr>
          <w:p w14:paraId="3D119C85">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highlight w:val="none"/>
                <w:u w:val="none"/>
              </w:rPr>
            </w:pPr>
          </w:p>
        </w:tc>
        <w:tc>
          <w:tcPr>
            <w:tcW w:w="542" w:type="pct"/>
            <w:tcBorders>
              <w:top w:val="single" w:color="000000" w:sz="8" w:space="0"/>
              <w:left w:val="single" w:color="000000" w:sz="8" w:space="0"/>
              <w:bottom w:val="single" w:color="000000" w:sz="8" w:space="0"/>
              <w:right w:val="single" w:color="000000" w:sz="8" w:space="0"/>
            </w:tcBorders>
            <w:noWrap w:val="0"/>
            <w:vAlign w:val="center"/>
          </w:tcPr>
          <w:p w14:paraId="4CE1347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147" w:type="pct"/>
            <w:tcBorders>
              <w:top w:val="single" w:color="000000" w:sz="8" w:space="0"/>
              <w:left w:val="single" w:color="000000" w:sz="8" w:space="0"/>
              <w:bottom w:val="single" w:color="000000" w:sz="8" w:space="0"/>
              <w:right w:val="single" w:color="000000" w:sz="8" w:space="0"/>
            </w:tcBorders>
            <w:noWrap w:val="0"/>
            <w:vAlign w:val="center"/>
          </w:tcPr>
          <w:p w14:paraId="07425BA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系统底层架构</w:t>
            </w:r>
          </w:p>
        </w:tc>
        <w:tc>
          <w:tcPr>
            <w:tcW w:w="1579" w:type="pct"/>
            <w:tcBorders>
              <w:top w:val="single" w:color="000000" w:sz="8" w:space="0"/>
              <w:left w:val="single" w:color="000000" w:sz="8" w:space="0"/>
              <w:bottom w:val="single" w:color="000000" w:sz="8" w:space="0"/>
              <w:right w:val="single" w:color="000000" w:sz="8" w:space="0"/>
            </w:tcBorders>
            <w:noWrap w:val="0"/>
            <w:vAlign w:val="center"/>
          </w:tcPr>
          <w:p w14:paraId="23D2C32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数字城管系统升级</w:t>
            </w:r>
          </w:p>
        </w:tc>
        <w:tc>
          <w:tcPr>
            <w:tcW w:w="958" w:type="pct"/>
            <w:tcBorders>
              <w:top w:val="single" w:color="000000" w:sz="8" w:space="0"/>
              <w:left w:val="single" w:color="000000" w:sz="8" w:space="0"/>
              <w:bottom w:val="single" w:color="000000" w:sz="8" w:space="0"/>
              <w:right w:val="single" w:color="000000" w:sz="8" w:space="0"/>
            </w:tcBorders>
            <w:noWrap w:val="0"/>
            <w:vAlign w:val="center"/>
          </w:tcPr>
          <w:p w14:paraId="2B3C35B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lang w:val="en-US"/>
              </w:rPr>
            </w:pPr>
          </w:p>
        </w:tc>
      </w:tr>
      <w:tr w14:paraId="1215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pct"/>
            <w:vMerge w:val="continue"/>
            <w:tcBorders>
              <w:top w:val="single" w:color="000000" w:sz="8" w:space="0"/>
              <w:left w:val="single" w:color="000000" w:sz="8" w:space="0"/>
              <w:bottom w:val="single" w:color="000000" w:sz="8" w:space="0"/>
              <w:right w:val="single" w:color="000000" w:sz="8" w:space="0"/>
            </w:tcBorders>
            <w:noWrap w:val="0"/>
            <w:vAlign w:val="center"/>
          </w:tcPr>
          <w:p w14:paraId="71A7F0DB">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highlight w:val="none"/>
                <w:u w:val="none"/>
              </w:rPr>
            </w:pPr>
          </w:p>
        </w:tc>
        <w:tc>
          <w:tcPr>
            <w:tcW w:w="542" w:type="pct"/>
            <w:tcBorders>
              <w:top w:val="single" w:color="000000" w:sz="8" w:space="0"/>
              <w:left w:val="single" w:color="000000" w:sz="8" w:space="0"/>
              <w:bottom w:val="single" w:color="000000" w:sz="8" w:space="0"/>
              <w:right w:val="single" w:color="000000" w:sz="8" w:space="0"/>
            </w:tcBorders>
            <w:noWrap w:val="0"/>
            <w:vAlign w:val="center"/>
          </w:tcPr>
          <w:p w14:paraId="7DBBB08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147" w:type="pct"/>
            <w:tcBorders>
              <w:top w:val="single" w:color="000000" w:sz="8" w:space="0"/>
              <w:left w:val="single" w:color="000000" w:sz="8" w:space="0"/>
              <w:bottom w:val="single" w:color="000000" w:sz="8" w:space="0"/>
              <w:right w:val="single" w:color="000000" w:sz="8" w:space="0"/>
            </w:tcBorders>
            <w:noWrap w:val="0"/>
            <w:vAlign w:val="center"/>
          </w:tcPr>
          <w:p w14:paraId="3455D34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无线数据采集系统</w:t>
            </w:r>
          </w:p>
        </w:tc>
        <w:tc>
          <w:tcPr>
            <w:tcW w:w="1579" w:type="pct"/>
            <w:tcBorders>
              <w:top w:val="single" w:color="000000" w:sz="8" w:space="0"/>
              <w:left w:val="single" w:color="000000" w:sz="8" w:space="0"/>
              <w:bottom w:val="single" w:color="000000" w:sz="8" w:space="0"/>
              <w:right w:val="single" w:color="000000" w:sz="8" w:space="0"/>
            </w:tcBorders>
            <w:noWrap w:val="0"/>
            <w:vAlign w:val="center"/>
          </w:tcPr>
          <w:p w14:paraId="2F077EE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数字城管系统升级</w:t>
            </w:r>
          </w:p>
        </w:tc>
        <w:tc>
          <w:tcPr>
            <w:tcW w:w="958" w:type="pct"/>
            <w:tcBorders>
              <w:top w:val="single" w:color="000000" w:sz="8" w:space="0"/>
              <w:left w:val="single" w:color="000000" w:sz="8" w:space="0"/>
              <w:bottom w:val="single" w:color="000000" w:sz="8" w:space="0"/>
              <w:right w:val="single" w:color="000000" w:sz="8" w:space="0"/>
            </w:tcBorders>
            <w:noWrap w:val="0"/>
            <w:vAlign w:val="center"/>
          </w:tcPr>
          <w:p w14:paraId="5D71679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p>
        </w:tc>
      </w:tr>
      <w:tr w14:paraId="187E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pct"/>
            <w:vMerge w:val="continue"/>
            <w:tcBorders>
              <w:top w:val="single" w:color="000000" w:sz="8" w:space="0"/>
              <w:left w:val="single" w:color="000000" w:sz="8" w:space="0"/>
              <w:bottom w:val="single" w:color="000000" w:sz="8" w:space="0"/>
              <w:right w:val="single" w:color="000000" w:sz="8" w:space="0"/>
            </w:tcBorders>
            <w:noWrap w:val="0"/>
            <w:vAlign w:val="center"/>
          </w:tcPr>
          <w:p w14:paraId="2E4DB415">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highlight w:val="none"/>
                <w:u w:val="none"/>
              </w:rPr>
            </w:pPr>
          </w:p>
        </w:tc>
        <w:tc>
          <w:tcPr>
            <w:tcW w:w="542" w:type="pct"/>
            <w:tcBorders>
              <w:top w:val="single" w:color="000000" w:sz="8" w:space="0"/>
              <w:left w:val="single" w:color="000000" w:sz="8" w:space="0"/>
              <w:bottom w:val="single" w:color="000000" w:sz="8" w:space="0"/>
              <w:right w:val="single" w:color="000000" w:sz="8" w:space="0"/>
            </w:tcBorders>
            <w:noWrap w:val="0"/>
            <w:vAlign w:val="center"/>
          </w:tcPr>
          <w:p w14:paraId="55271BB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147" w:type="pct"/>
            <w:tcBorders>
              <w:top w:val="single" w:color="000000" w:sz="8" w:space="0"/>
              <w:left w:val="single" w:color="000000" w:sz="8" w:space="0"/>
              <w:bottom w:val="single" w:color="000000" w:sz="8" w:space="0"/>
              <w:right w:val="single" w:color="000000" w:sz="8" w:space="0"/>
            </w:tcBorders>
            <w:noWrap w:val="0"/>
            <w:vAlign w:val="center"/>
          </w:tcPr>
          <w:p w14:paraId="28A0274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地理编码子系统</w:t>
            </w:r>
          </w:p>
        </w:tc>
        <w:tc>
          <w:tcPr>
            <w:tcW w:w="1579" w:type="pct"/>
            <w:tcBorders>
              <w:top w:val="single" w:color="000000" w:sz="8" w:space="0"/>
              <w:left w:val="single" w:color="000000" w:sz="8" w:space="0"/>
              <w:bottom w:val="single" w:color="000000" w:sz="8" w:space="0"/>
              <w:right w:val="single" w:color="000000" w:sz="8" w:space="0"/>
            </w:tcBorders>
            <w:noWrap w:val="0"/>
            <w:vAlign w:val="center"/>
          </w:tcPr>
          <w:p w14:paraId="5E628AE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数字城管系统升级</w:t>
            </w:r>
          </w:p>
        </w:tc>
        <w:tc>
          <w:tcPr>
            <w:tcW w:w="958" w:type="pct"/>
            <w:tcBorders>
              <w:top w:val="single" w:color="000000" w:sz="8" w:space="0"/>
              <w:left w:val="single" w:color="000000" w:sz="8" w:space="0"/>
              <w:bottom w:val="single" w:color="000000" w:sz="8" w:space="0"/>
              <w:right w:val="single" w:color="000000" w:sz="8" w:space="0"/>
            </w:tcBorders>
            <w:noWrap w:val="0"/>
            <w:vAlign w:val="center"/>
          </w:tcPr>
          <w:p w14:paraId="5F101E4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p>
        </w:tc>
      </w:tr>
      <w:tr w14:paraId="262E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pct"/>
            <w:vMerge w:val="continue"/>
            <w:tcBorders>
              <w:top w:val="single" w:color="000000" w:sz="8" w:space="0"/>
              <w:left w:val="single" w:color="000000" w:sz="8" w:space="0"/>
              <w:bottom w:val="single" w:color="000000" w:sz="8" w:space="0"/>
              <w:right w:val="single" w:color="000000" w:sz="8" w:space="0"/>
            </w:tcBorders>
            <w:noWrap w:val="0"/>
            <w:vAlign w:val="center"/>
          </w:tcPr>
          <w:p w14:paraId="160DAC59">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highlight w:val="none"/>
                <w:u w:val="none"/>
              </w:rPr>
            </w:pPr>
          </w:p>
        </w:tc>
        <w:tc>
          <w:tcPr>
            <w:tcW w:w="542" w:type="pct"/>
            <w:tcBorders>
              <w:top w:val="single" w:color="000000" w:sz="8" w:space="0"/>
              <w:left w:val="single" w:color="000000" w:sz="8" w:space="0"/>
              <w:bottom w:val="single" w:color="000000" w:sz="8" w:space="0"/>
              <w:right w:val="single" w:color="000000" w:sz="8" w:space="0"/>
            </w:tcBorders>
            <w:noWrap w:val="0"/>
            <w:vAlign w:val="center"/>
          </w:tcPr>
          <w:p w14:paraId="247DFB0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147" w:type="pct"/>
            <w:tcBorders>
              <w:top w:val="single" w:color="000000" w:sz="8" w:space="0"/>
              <w:left w:val="single" w:color="000000" w:sz="8" w:space="0"/>
              <w:bottom w:val="single" w:color="000000" w:sz="8" w:space="0"/>
              <w:right w:val="single" w:color="000000" w:sz="8" w:space="0"/>
            </w:tcBorders>
            <w:noWrap w:val="0"/>
            <w:vAlign w:val="center"/>
          </w:tcPr>
          <w:p w14:paraId="47DFDC7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应用维护子系统</w:t>
            </w:r>
          </w:p>
        </w:tc>
        <w:tc>
          <w:tcPr>
            <w:tcW w:w="1579" w:type="pct"/>
            <w:tcBorders>
              <w:top w:val="single" w:color="000000" w:sz="8" w:space="0"/>
              <w:left w:val="single" w:color="000000" w:sz="8" w:space="0"/>
              <w:bottom w:val="single" w:color="000000" w:sz="8" w:space="0"/>
              <w:right w:val="single" w:color="000000" w:sz="8" w:space="0"/>
            </w:tcBorders>
            <w:noWrap w:val="0"/>
            <w:vAlign w:val="center"/>
          </w:tcPr>
          <w:p w14:paraId="6DE978F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数字城管系统升级</w:t>
            </w:r>
          </w:p>
        </w:tc>
        <w:tc>
          <w:tcPr>
            <w:tcW w:w="958" w:type="pct"/>
            <w:tcBorders>
              <w:top w:val="single" w:color="000000" w:sz="8" w:space="0"/>
              <w:left w:val="single" w:color="000000" w:sz="8" w:space="0"/>
              <w:bottom w:val="single" w:color="000000" w:sz="8" w:space="0"/>
              <w:right w:val="single" w:color="000000" w:sz="8" w:space="0"/>
            </w:tcBorders>
            <w:noWrap/>
            <w:vAlign w:val="center"/>
          </w:tcPr>
          <w:p w14:paraId="0D02F1D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p>
        </w:tc>
      </w:tr>
      <w:tr w14:paraId="3867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pct"/>
            <w:tcBorders>
              <w:top w:val="single" w:color="000000" w:sz="8" w:space="0"/>
              <w:left w:val="single" w:color="000000" w:sz="8" w:space="0"/>
              <w:bottom w:val="single" w:color="000000" w:sz="8" w:space="0"/>
              <w:right w:val="single" w:color="000000" w:sz="8" w:space="0"/>
            </w:tcBorders>
            <w:noWrap w:val="0"/>
            <w:vAlign w:val="center"/>
          </w:tcPr>
          <w:p w14:paraId="44F596F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数据普查服务</w:t>
            </w:r>
          </w:p>
        </w:tc>
        <w:tc>
          <w:tcPr>
            <w:tcW w:w="542" w:type="pct"/>
            <w:tcBorders>
              <w:top w:val="single" w:color="000000" w:sz="8" w:space="0"/>
              <w:left w:val="single" w:color="000000" w:sz="8" w:space="0"/>
              <w:bottom w:val="single" w:color="000000" w:sz="8" w:space="0"/>
              <w:right w:val="single" w:color="000000" w:sz="8" w:space="0"/>
            </w:tcBorders>
            <w:noWrap w:val="0"/>
            <w:vAlign w:val="center"/>
          </w:tcPr>
          <w:p w14:paraId="024DAC9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47" w:type="pct"/>
            <w:tcBorders>
              <w:top w:val="single" w:color="000000" w:sz="8" w:space="0"/>
              <w:left w:val="single" w:color="000000" w:sz="8" w:space="0"/>
              <w:bottom w:val="single" w:color="000000" w:sz="8" w:space="0"/>
              <w:right w:val="single" w:color="000000" w:sz="8" w:space="0"/>
            </w:tcBorders>
            <w:noWrap w:val="0"/>
            <w:vAlign w:val="center"/>
          </w:tcPr>
          <w:p w14:paraId="28BF3F3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县城新增区域</w:t>
            </w:r>
          </w:p>
        </w:tc>
        <w:tc>
          <w:tcPr>
            <w:tcW w:w="1579" w:type="pct"/>
            <w:tcBorders>
              <w:top w:val="single" w:color="000000" w:sz="8" w:space="0"/>
              <w:left w:val="single" w:color="000000" w:sz="8" w:space="0"/>
              <w:bottom w:val="single" w:color="000000" w:sz="8" w:space="0"/>
              <w:right w:val="single" w:color="000000" w:sz="8" w:space="0"/>
            </w:tcBorders>
            <w:noWrap w:val="0"/>
            <w:vAlign w:val="center"/>
          </w:tcPr>
          <w:p w14:paraId="17AACA6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城南新区10平方公里+产业聚集区6.7</w:t>
            </w:r>
          </w:p>
        </w:tc>
        <w:tc>
          <w:tcPr>
            <w:tcW w:w="958" w:type="pct"/>
            <w:tcBorders>
              <w:top w:val="single" w:color="000000" w:sz="8" w:space="0"/>
              <w:left w:val="single" w:color="000000" w:sz="8" w:space="0"/>
              <w:bottom w:val="single" w:color="000000" w:sz="8" w:space="0"/>
              <w:right w:val="single" w:color="000000" w:sz="8" w:space="0"/>
            </w:tcBorders>
            <w:noWrap/>
            <w:vAlign w:val="center"/>
          </w:tcPr>
          <w:p w14:paraId="27F9FFA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p>
        </w:tc>
      </w:tr>
      <w:tr w14:paraId="7C91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pct"/>
            <w:tcBorders>
              <w:top w:val="single" w:color="000000" w:sz="8" w:space="0"/>
              <w:left w:val="single" w:color="000000" w:sz="8" w:space="0"/>
              <w:bottom w:val="nil"/>
              <w:right w:val="single" w:color="000000" w:sz="8" w:space="0"/>
            </w:tcBorders>
            <w:noWrap w:val="0"/>
            <w:vAlign w:val="center"/>
          </w:tcPr>
          <w:p w14:paraId="5D1F297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电子政务外网系统升级</w:t>
            </w:r>
          </w:p>
        </w:tc>
        <w:tc>
          <w:tcPr>
            <w:tcW w:w="542" w:type="pct"/>
            <w:tcBorders>
              <w:top w:val="single" w:color="000000" w:sz="8" w:space="0"/>
              <w:left w:val="single" w:color="000000" w:sz="8" w:space="0"/>
              <w:bottom w:val="single" w:color="000000" w:sz="8" w:space="0"/>
              <w:right w:val="single" w:color="000000" w:sz="8" w:space="0"/>
            </w:tcBorders>
            <w:noWrap w:val="0"/>
            <w:vAlign w:val="center"/>
          </w:tcPr>
          <w:p w14:paraId="4EC4CC2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47" w:type="pct"/>
            <w:tcBorders>
              <w:top w:val="single" w:color="000000" w:sz="8" w:space="0"/>
              <w:left w:val="single" w:color="000000" w:sz="8" w:space="0"/>
              <w:bottom w:val="single" w:color="000000" w:sz="8" w:space="0"/>
              <w:right w:val="single" w:color="000000" w:sz="8" w:space="0"/>
            </w:tcBorders>
            <w:noWrap w:val="0"/>
            <w:vAlign w:val="center"/>
          </w:tcPr>
          <w:p w14:paraId="3308B85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电子政务外网</w:t>
            </w:r>
          </w:p>
        </w:tc>
        <w:tc>
          <w:tcPr>
            <w:tcW w:w="1579" w:type="pct"/>
            <w:tcBorders>
              <w:top w:val="single" w:color="000000" w:sz="8" w:space="0"/>
              <w:left w:val="single" w:color="000000" w:sz="8" w:space="0"/>
              <w:bottom w:val="single" w:color="000000" w:sz="8" w:space="0"/>
              <w:right w:val="single" w:color="000000" w:sz="8" w:space="0"/>
            </w:tcBorders>
            <w:noWrap w:val="0"/>
            <w:vAlign w:val="center"/>
          </w:tcPr>
          <w:p w14:paraId="3DECD1C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新建电子政务外网建设连接市城管中心</w:t>
            </w:r>
          </w:p>
        </w:tc>
        <w:tc>
          <w:tcPr>
            <w:tcW w:w="958" w:type="pct"/>
            <w:tcBorders>
              <w:top w:val="single" w:color="000000" w:sz="8" w:space="0"/>
              <w:left w:val="single" w:color="000000" w:sz="8" w:space="0"/>
              <w:bottom w:val="single" w:color="000000" w:sz="8" w:space="0"/>
              <w:right w:val="single" w:color="000000" w:sz="8" w:space="0"/>
            </w:tcBorders>
            <w:noWrap/>
            <w:vAlign w:val="center"/>
          </w:tcPr>
          <w:p w14:paraId="250025F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p>
        </w:tc>
      </w:tr>
      <w:tr w14:paraId="5AB3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pct"/>
            <w:tcBorders>
              <w:top w:val="single" w:color="000000" w:sz="8" w:space="0"/>
              <w:left w:val="single" w:color="000000" w:sz="8" w:space="0"/>
              <w:bottom w:val="single" w:color="000000" w:sz="8" w:space="0"/>
              <w:right w:val="single" w:color="000000" w:sz="8" w:space="0"/>
            </w:tcBorders>
            <w:noWrap w:val="0"/>
            <w:vAlign w:val="center"/>
          </w:tcPr>
          <w:p w14:paraId="75B8126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文明城市评测监控服务</w:t>
            </w:r>
          </w:p>
        </w:tc>
        <w:tc>
          <w:tcPr>
            <w:tcW w:w="542" w:type="pct"/>
            <w:tcBorders>
              <w:top w:val="single" w:color="000000" w:sz="8" w:space="0"/>
              <w:left w:val="single" w:color="000000" w:sz="8" w:space="0"/>
              <w:bottom w:val="single" w:color="000000" w:sz="8" w:space="0"/>
              <w:right w:val="single" w:color="000000" w:sz="8" w:space="0"/>
            </w:tcBorders>
            <w:noWrap w:val="0"/>
            <w:vAlign w:val="center"/>
          </w:tcPr>
          <w:p w14:paraId="04018C6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47" w:type="pct"/>
            <w:tcBorders>
              <w:top w:val="single" w:color="000000" w:sz="8" w:space="0"/>
              <w:left w:val="single" w:color="000000" w:sz="8" w:space="0"/>
              <w:bottom w:val="single" w:color="000000" w:sz="8" w:space="0"/>
              <w:right w:val="single" w:color="000000" w:sz="8" w:space="0"/>
            </w:tcBorders>
            <w:noWrap w:val="0"/>
            <w:vAlign w:val="center"/>
          </w:tcPr>
          <w:p w14:paraId="73BD502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县建成区</w:t>
            </w:r>
          </w:p>
        </w:tc>
        <w:tc>
          <w:tcPr>
            <w:tcW w:w="1579" w:type="pct"/>
            <w:tcBorders>
              <w:top w:val="single" w:color="000000" w:sz="8" w:space="0"/>
              <w:left w:val="single" w:color="000000" w:sz="8" w:space="0"/>
              <w:bottom w:val="single" w:color="000000" w:sz="8" w:space="0"/>
              <w:right w:val="single" w:color="000000" w:sz="8" w:space="0"/>
            </w:tcBorders>
            <w:noWrap w:val="0"/>
            <w:vAlign w:val="center"/>
          </w:tcPr>
          <w:p w14:paraId="0EFA947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42个文明城市评测监控点位</w:t>
            </w:r>
          </w:p>
        </w:tc>
        <w:tc>
          <w:tcPr>
            <w:tcW w:w="958" w:type="pct"/>
            <w:tcBorders>
              <w:top w:val="single" w:color="000000" w:sz="8" w:space="0"/>
              <w:left w:val="single" w:color="000000" w:sz="8" w:space="0"/>
              <w:bottom w:val="single" w:color="000000" w:sz="8" w:space="0"/>
              <w:right w:val="single" w:color="000000" w:sz="8" w:space="0"/>
            </w:tcBorders>
            <w:noWrap/>
            <w:vAlign w:val="center"/>
          </w:tcPr>
          <w:p w14:paraId="16DFA81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p>
        </w:tc>
      </w:tr>
      <w:tr w14:paraId="6369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41" w:type="pct"/>
            <w:gridSpan w:val="4"/>
            <w:tcBorders>
              <w:top w:val="single" w:color="000000" w:sz="8" w:space="0"/>
              <w:left w:val="single" w:color="000000" w:sz="8" w:space="0"/>
              <w:bottom w:val="single" w:color="000000" w:sz="8" w:space="0"/>
              <w:right w:val="single" w:color="000000" w:sz="8" w:space="0"/>
            </w:tcBorders>
            <w:noWrap w:val="0"/>
            <w:vAlign w:val="center"/>
          </w:tcPr>
          <w:p w14:paraId="09F321B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小计：</w:t>
            </w:r>
          </w:p>
        </w:tc>
        <w:tc>
          <w:tcPr>
            <w:tcW w:w="958" w:type="pct"/>
            <w:tcBorders>
              <w:top w:val="single" w:color="000000" w:sz="8" w:space="0"/>
              <w:left w:val="single" w:color="000000" w:sz="8" w:space="0"/>
              <w:bottom w:val="single" w:color="000000" w:sz="8" w:space="0"/>
              <w:right w:val="single" w:color="000000" w:sz="8" w:space="0"/>
            </w:tcBorders>
            <w:noWrap/>
            <w:vAlign w:val="center"/>
          </w:tcPr>
          <w:p w14:paraId="32E5F78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highlight w:val="none"/>
                <w:u w:val="none"/>
              </w:rPr>
            </w:pPr>
          </w:p>
        </w:tc>
      </w:tr>
    </w:tbl>
    <w:p w14:paraId="64C6BB0B">
      <w:pPr>
        <w:pageBreakBefore w:val="0"/>
        <w:kinsoku/>
        <w:wordWrap/>
        <w:overflowPunct/>
        <w:topLinePunct w:val="0"/>
        <w:autoSpaceDE/>
        <w:autoSpaceDN/>
        <w:bidi w:val="0"/>
        <w:spacing w:line="360" w:lineRule="auto"/>
        <w:jc w:val="left"/>
        <w:rPr>
          <w:rFonts w:hint="default" w:ascii="宋体" w:hAnsi="宋体" w:eastAsia="宋体" w:cs="宋体"/>
          <w:sz w:val="28"/>
          <w:szCs w:val="28"/>
          <w:highlight w:val="none"/>
          <w:lang w:val="en-US"/>
        </w:rPr>
      </w:pPr>
      <w:r>
        <w:rPr>
          <w:rFonts w:hint="eastAsia" w:ascii="宋体" w:hAnsi="宋体" w:eastAsia="宋体" w:cs="宋体"/>
          <w:sz w:val="28"/>
          <w:szCs w:val="28"/>
          <w:highlight w:val="none"/>
          <w:lang w:val="en-US" w:eastAsia="zh-CN"/>
        </w:rPr>
        <w:t xml:space="preserve">一、采购内容 </w:t>
      </w:r>
    </w:p>
    <w:p w14:paraId="1ADACDFB">
      <w:pPr>
        <w:pageBreakBefore w:val="0"/>
        <w:kinsoku/>
        <w:wordWrap/>
        <w:overflowPunct/>
        <w:topLinePunct w:val="0"/>
        <w:autoSpaceDE/>
        <w:autoSpaceDN/>
        <w:bidi w:val="0"/>
        <w:spacing w:line="360" w:lineRule="auto"/>
        <w:ind w:firstLine="280" w:firstLineChars="100"/>
        <w:jc w:val="left"/>
        <w:rPr>
          <w:rFonts w:hint="default" w:ascii="宋体" w:hAnsi="宋体" w:eastAsia="宋体" w:cs="宋体"/>
          <w:bCs/>
          <w:sz w:val="28"/>
          <w:szCs w:val="28"/>
          <w:highlight w:val="none"/>
          <w:lang w:val="en-US"/>
        </w:rPr>
      </w:pPr>
      <w:r>
        <w:rPr>
          <w:rFonts w:hint="eastAsia" w:ascii="宋体" w:hAnsi="宋体" w:eastAsia="宋体" w:cs="宋体"/>
          <w:sz w:val="28"/>
          <w:szCs w:val="28"/>
          <w:highlight w:val="none"/>
          <w:lang w:val="en-US" w:eastAsia="zh-CN"/>
        </w:rPr>
        <w:t>在填写报价时应充分考虑招标要求及报价全过程中所发生的费用。</w:t>
      </w:r>
    </w:p>
    <w:p w14:paraId="0925E61C">
      <w:pPr>
        <w:pageBreakBefore w:val="0"/>
        <w:numPr>
          <w:ilvl w:val="0"/>
          <w:numId w:val="0"/>
        </w:numPr>
        <w:kinsoku/>
        <w:wordWrap/>
        <w:overflowPunct/>
        <w:topLinePunct w:val="0"/>
        <w:autoSpaceDE/>
        <w:autoSpaceDN/>
        <w:bidi w:val="0"/>
        <w:spacing w:line="360" w:lineRule="auto"/>
        <w:rPr>
          <w:rFonts w:hint="default"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br w:type="page"/>
      </w:r>
      <w:r>
        <w:rPr>
          <w:rFonts w:hint="eastAsia" w:ascii="宋体" w:hAnsi="宋体" w:eastAsia="宋体" w:cs="宋体"/>
          <w:b/>
          <w:bCs w:val="0"/>
          <w:sz w:val="28"/>
          <w:szCs w:val="28"/>
          <w:highlight w:val="none"/>
          <w:lang w:val="en-US" w:eastAsia="zh-CN"/>
        </w:rPr>
        <w:t>技术要求</w:t>
      </w:r>
    </w:p>
    <w:p w14:paraId="277F9B13">
      <w:pPr>
        <w:pageBreakBefore w:val="0"/>
        <w:numPr>
          <w:ilvl w:val="0"/>
          <w:numId w:val="0"/>
        </w:numPr>
        <w:kinsoku/>
        <w:wordWrap/>
        <w:overflowPunct/>
        <w:topLinePunct w:val="0"/>
        <w:autoSpaceDE/>
        <w:autoSpaceDN/>
        <w:bidi w:val="0"/>
        <w:spacing w:line="360" w:lineRule="auto"/>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升级改造方案</w:t>
      </w:r>
    </w:p>
    <w:p w14:paraId="5762635E">
      <w:pPr>
        <w:pageBreakBefore w:val="0"/>
        <w:numPr>
          <w:ilvl w:val="0"/>
          <w:numId w:val="0"/>
        </w:numPr>
        <w:kinsoku/>
        <w:wordWrap/>
        <w:overflowPunct/>
        <w:topLinePunct w:val="0"/>
        <w:autoSpaceDE/>
        <w:autoSpaceDN/>
        <w:bidi w:val="0"/>
        <w:spacing w:line="360" w:lineRule="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（一）整体改造清单</w:t>
      </w:r>
    </w:p>
    <w:tbl>
      <w:tblPr>
        <w:tblStyle w:val="2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92"/>
        <w:gridCol w:w="8258"/>
      </w:tblGrid>
      <w:tr w14:paraId="0CE7A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808" w:type="pct"/>
            <w:tcBorders>
              <w:bottom w:val="single" w:color="000000" w:sz="8" w:space="0"/>
              <w:right w:val="single" w:color="000000" w:sz="8" w:space="0"/>
            </w:tcBorders>
            <w:noWrap w:val="0"/>
            <w:vAlign w:val="center"/>
          </w:tcPr>
          <w:p w14:paraId="1BF5C16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序号</w:t>
            </w:r>
          </w:p>
        </w:tc>
        <w:tc>
          <w:tcPr>
            <w:tcW w:w="4191" w:type="pct"/>
            <w:tcBorders>
              <w:left w:val="nil"/>
              <w:bottom w:val="single" w:color="000000" w:sz="8" w:space="0"/>
            </w:tcBorders>
            <w:noWrap w:val="0"/>
            <w:vAlign w:val="center"/>
          </w:tcPr>
          <w:p w14:paraId="216F957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服务项目</w:t>
            </w:r>
          </w:p>
        </w:tc>
      </w:tr>
      <w:tr w14:paraId="2447D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08" w:type="pct"/>
            <w:tcBorders>
              <w:top w:val="nil"/>
              <w:bottom w:val="single" w:color="000000" w:sz="8" w:space="0"/>
              <w:right w:val="single" w:color="000000" w:sz="8" w:space="0"/>
            </w:tcBorders>
            <w:noWrap w:val="0"/>
            <w:vAlign w:val="center"/>
          </w:tcPr>
          <w:p w14:paraId="0EECEDF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191" w:type="pct"/>
            <w:tcBorders>
              <w:top w:val="nil"/>
              <w:left w:val="nil"/>
              <w:bottom w:val="single" w:color="000000" w:sz="8" w:space="0"/>
            </w:tcBorders>
            <w:noWrap w:val="0"/>
            <w:vAlign w:val="center"/>
          </w:tcPr>
          <w:p w14:paraId="2BD2CEC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highlight w:val="none"/>
                <w:u w:val="none"/>
                <w:lang w:val="en-US" w:eastAsia="zh-CN"/>
              </w:rPr>
            </w:pPr>
            <w:r>
              <w:rPr>
                <w:rFonts w:hint="eastAsia" w:ascii="宋体" w:hAnsi="宋体" w:eastAsia="宋体" w:cs="宋体"/>
                <w:i w:val="0"/>
                <w:iCs w:val="0"/>
                <w:color w:val="000000"/>
                <w:kern w:val="0"/>
                <w:sz w:val="28"/>
                <w:szCs w:val="28"/>
                <w:highlight w:val="none"/>
                <w:u w:val="none"/>
                <w:lang w:val="en-US" w:eastAsia="zh-CN" w:bidi="ar"/>
              </w:rPr>
              <w:t>硬件升级服务</w:t>
            </w:r>
          </w:p>
        </w:tc>
      </w:tr>
      <w:tr w14:paraId="406A7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08" w:type="pct"/>
            <w:tcBorders>
              <w:top w:val="nil"/>
              <w:bottom w:val="single" w:color="000000" w:sz="8" w:space="0"/>
              <w:right w:val="single" w:color="000000" w:sz="8" w:space="0"/>
            </w:tcBorders>
            <w:noWrap w:val="0"/>
            <w:vAlign w:val="center"/>
          </w:tcPr>
          <w:p w14:paraId="7543569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2</w:t>
            </w:r>
          </w:p>
        </w:tc>
        <w:tc>
          <w:tcPr>
            <w:tcW w:w="4191" w:type="pct"/>
            <w:tcBorders>
              <w:top w:val="nil"/>
              <w:left w:val="nil"/>
              <w:bottom w:val="single" w:color="000000" w:sz="8" w:space="0"/>
            </w:tcBorders>
            <w:noWrap w:val="0"/>
            <w:vAlign w:val="center"/>
          </w:tcPr>
          <w:p w14:paraId="7CF0A51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软件升级服务</w:t>
            </w:r>
          </w:p>
        </w:tc>
      </w:tr>
      <w:tr w14:paraId="0D9E6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808" w:type="pct"/>
            <w:tcBorders>
              <w:top w:val="single" w:color="auto" w:sz="4" w:space="0"/>
              <w:bottom w:val="single" w:color="auto" w:sz="4" w:space="0"/>
              <w:right w:val="single" w:color="auto" w:sz="4" w:space="0"/>
            </w:tcBorders>
            <w:noWrap w:val="0"/>
            <w:vAlign w:val="center"/>
          </w:tcPr>
          <w:p w14:paraId="329D156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3</w:t>
            </w:r>
          </w:p>
        </w:tc>
        <w:tc>
          <w:tcPr>
            <w:tcW w:w="4191" w:type="pct"/>
            <w:tcBorders>
              <w:top w:val="single" w:color="auto" w:sz="4" w:space="0"/>
              <w:left w:val="single" w:color="auto" w:sz="4" w:space="0"/>
              <w:bottom w:val="single" w:color="auto" w:sz="4" w:space="0"/>
            </w:tcBorders>
            <w:noWrap w:val="0"/>
            <w:vAlign w:val="center"/>
          </w:tcPr>
          <w:p w14:paraId="25BDD00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highlight w:val="none"/>
                <w:u w:val="none"/>
                <w:lang w:val="en-US" w:eastAsia="zh-CN"/>
              </w:rPr>
            </w:pPr>
            <w:r>
              <w:rPr>
                <w:rFonts w:hint="eastAsia" w:ascii="宋体" w:hAnsi="宋体" w:eastAsia="宋体" w:cs="宋体"/>
                <w:i w:val="0"/>
                <w:iCs w:val="0"/>
                <w:color w:val="000000"/>
                <w:sz w:val="28"/>
                <w:szCs w:val="28"/>
                <w:highlight w:val="none"/>
                <w:u w:val="none"/>
              </w:rPr>
              <w:t>数据普查服务</w:t>
            </w:r>
          </w:p>
        </w:tc>
      </w:tr>
      <w:tr w14:paraId="69421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808" w:type="pct"/>
            <w:tcBorders>
              <w:top w:val="single" w:color="auto" w:sz="4" w:space="0"/>
              <w:bottom w:val="single" w:color="auto" w:sz="4" w:space="0"/>
              <w:right w:val="single" w:color="auto" w:sz="4" w:space="0"/>
            </w:tcBorders>
            <w:noWrap w:val="0"/>
            <w:vAlign w:val="center"/>
          </w:tcPr>
          <w:p w14:paraId="4E9C2F5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4</w:t>
            </w:r>
          </w:p>
        </w:tc>
        <w:tc>
          <w:tcPr>
            <w:tcW w:w="4191" w:type="pct"/>
            <w:tcBorders>
              <w:top w:val="single" w:color="auto" w:sz="4" w:space="0"/>
              <w:left w:val="single" w:color="auto" w:sz="4" w:space="0"/>
              <w:bottom w:val="single" w:color="auto" w:sz="4" w:space="0"/>
            </w:tcBorders>
            <w:noWrap w:val="0"/>
            <w:vAlign w:val="center"/>
          </w:tcPr>
          <w:p w14:paraId="7AFDC35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电子政务外网系统升级</w:t>
            </w:r>
          </w:p>
        </w:tc>
      </w:tr>
      <w:tr w14:paraId="476D1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808" w:type="pct"/>
            <w:tcBorders>
              <w:top w:val="single" w:color="auto" w:sz="4" w:space="0"/>
              <w:bottom w:val="single" w:color="auto" w:sz="4" w:space="0"/>
              <w:right w:val="single" w:color="auto" w:sz="4" w:space="0"/>
            </w:tcBorders>
            <w:noWrap w:val="0"/>
            <w:vAlign w:val="center"/>
          </w:tcPr>
          <w:p w14:paraId="3C02ABA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5</w:t>
            </w:r>
          </w:p>
        </w:tc>
        <w:tc>
          <w:tcPr>
            <w:tcW w:w="4191" w:type="pct"/>
            <w:tcBorders>
              <w:top w:val="single" w:color="auto" w:sz="4" w:space="0"/>
              <w:left w:val="single" w:color="auto" w:sz="4" w:space="0"/>
              <w:bottom w:val="single" w:color="auto" w:sz="4" w:space="0"/>
            </w:tcBorders>
            <w:noWrap w:val="0"/>
            <w:vAlign w:val="center"/>
          </w:tcPr>
          <w:p w14:paraId="1012B48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i w:val="0"/>
                <w:iCs w:val="0"/>
                <w:color w:val="000000"/>
                <w:sz w:val="28"/>
                <w:szCs w:val="28"/>
                <w:highlight w:val="none"/>
                <w:u w:val="none"/>
                <w:lang w:val="en-US" w:eastAsia="zh-CN"/>
              </w:rPr>
            </w:pPr>
            <w:r>
              <w:rPr>
                <w:rFonts w:hint="eastAsia" w:ascii="宋体" w:hAnsi="宋体" w:eastAsia="宋体" w:cs="宋体"/>
                <w:i w:val="0"/>
                <w:iCs w:val="0"/>
                <w:color w:val="000000"/>
                <w:kern w:val="0"/>
                <w:sz w:val="28"/>
                <w:szCs w:val="28"/>
                <w:highlight w:val="none"/>
                <w:u w:val="none"/>
                <w:lang w:val="en-US" w:eastAsia="zh-CN" w:bidi="ar"/>
              </w:rPr>
              <w:t>文明城市评测监控服务</w:t>
            </w:r>
          </w:p>
        </w:tc>
      </w:tr>
    </w:tbl>
    <w:p w14:paraId="3B8F0827">
      <w:pPr>
        <w:pageBreakBefore w:val="0"/>
        <w:numPr>
          <w:ilvl w:val="0"/>
          <w:numId w:val="0"/>
        </w:numPr>
        <w:kinsoku/>
        <w:wordWrap/>
        <w:overflowPunct/>
        <w:topLinePunct w:val="0"/>
        <w:autoSpaceDE/>
        <w:autoSpaceDN/>
        <w:bidi w:val="0"/>
        <w:spacing w:line="360" w:lineRule="auto"/>
        <w:rPr>
          <w:rFonts w:hint="eastAsia" w:ascii="宋体" w:hAnsi="宋体" w:eastAsia="宋体" w:cs="宋体"/>
          <w:b/>
          <w:bCs w:val="0"/>
          <w:sz w:val="28"/>
          <w:szCs w:val="28"/>
          <w:highlight w:val="none"/>
          <w:lang w:val="en-US" w:eastAsia="zh-CN"/>
        </w:rPr>
      </w:pPr>
    </w:p>
    <w:p w14:paraId="2A00567F">
      <w:pPr>
        <w:pageBreakBefore w:val="0"/>
        <w:numPr>
          <w:ilvl w:val="0"/>
          <w:numId w:val="0"/>
        </w:numPr>
        <w:kinsoku/>
        <w:wordWrap/>
        <w:overflowPunct/>
        <w:topLinePunct w:val="0"/>
        <w:autoSpaceDE/>
        <w:autoSpaceDN/>
        <w:bidi w:val="0"/>
        <w:spacing w:line="360" w:lineRule="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w:t>
      </w:r>
      <w:r>
        <w:rPr>
          <w:rFonts w:hint="eastAsia" w:ascii="宋体" w:hAnsi="宋体" w:eastAsia="宋体" w:cs="宋体"/>
          <w:i w:val="0"/>
          <w:iCs w:val="0"/>
          <w:color w:val="000000"/>
          <w:kern w:val="0"/>
          <w:sz w:val="28"/>
          <w:szCs w:val="28"/>
          <w:highlight w:val="none"/>
          <w:u w:val="none"/>
          <w:lang w:val="en-US" w:eastAsia="zh-CN" w:bidi="ar"/>
        </w:rPr>
        <w:t>硬件升级服务</w:t>
      </w:r>
    </w:p>
    <w:p w14:paraId="2BC01B8B">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kern w:val="44"/>
          <w:sz w:val="28"/>
          <w:szCs w:val="28"/>
          <w:highlight w:val="none"/>
          <w:lang w:val="en-US" w:eastAsia="zh-CN" w:bidi="ar-SA"/>
        </w:rPr>
      </w:pPr>
      <w:r>
        <w:rPr>
          <w:rFonts w:hint="eastAsia" w:ascii="宋体" w:hAnsi="宋体" w:eastAsia="宋体" w:cs="宋体"/>
          <w:b w:val="0"/>
          <w:bCs/>
          <w:color w:val="auto"/>
          <w:kern w:val="44"/>
          <w:sz w:val="28"/>
          <w:szCs w:val="28"/>
          <w:highlight w:val="none"/>
          <w:lang w:val="en-US" w:eastAsia="zh-CN" w:bidi="ar-SA"/>
        </w:rPr>
        <w:t>照行业标准，电子产品、电子设备折旧年限平均为3年。按照《中央国家机关办公设备和办公家具配置标准(试行)》规定办公设备使用年限为5年，最低使用年限根据办公设备使用频率和耐用程度等确定。</w:t>
      </w:r>
    </w:p>
    <w:p w14:paraId="43E11ABF">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kern w:val="44"/>
          <w:sz w:val="28"/>
          <w:szCs w:val="28"/>
          <w:highlight w:val="none"/>
          <w:lang w:val="en-US" w:eastAsia="zh-CN" w:bidi="ar-SA"/>
        </w:rPr>
      </w:pPr>
      <w:r>
        <w:rPr>
          <w:rFonts w:hint="eastAsia" w:ascii="宋体" w:hAnsi="宋体" w:eastAsia="宋体" w:cs="宋体"/>
          <w:b w:val="0"/>
          <w:bCs/>
          <w:color w:val="auto"/>
          <w:kern w:val="44"/>
          <w:sz w:val="28"/>
          <w:szCs w:val="28"/>
          <w:highlight w:val="none"/>
          <w:lang w:val="en-US" w:eastAsia="zh-CN" w:bidi="ar-SA"/>
        </w:rPr>
        <w:t>1、目前部分设备例如复印机工作时限已超过6年，需要进行升级改造。</w:t>
      </w:r>
    </w:p>
    <w:p w14:paraId="248B52F4">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color w:val="auto"/>
          <w:kern w:val="44"/>
          <w:sz w:val="28"/>
          <w:szCs w:val="28"/>
          <w:highlight w:val="none"/>
          <w:lang w:val="en-US" w:eastAsia="zh-CN" w:bidi="ar-SA"/>
        </w:rPr>
        <w:t>2、门禁系统的升级：当前门禁存在着安全风险及管理不便等问题，需要对机房门禁，指挥中心门禁，二楼办公区域门禁及指挥大厅门禁进行升级改造。</w:t>
      </w:r>
    </w:p>
    <w:p w14:paraId="64344B39">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kern w:val="44"/>
          <w:sz w:val="28"/>
          <w:szCs w:val="28"/>
          <w:highlight w:val="none"/>
          <w:lang w:val="en-US" w:eastAsia="zh-CN" w:bidi="ar-SA"/>
        </w:rPr>
      </w:pPr>
      <w:r>
        <w:rPr>
          <w:rFonts w:hint="eastAsia" w:ascii="宋体" w:hAnsi="宋体" w:eastAsia="宋体" w:cs="宋体"/>
          <w:b w:val="0"/>
          <w:bCs/>
          <w:color w:val="auto"/>
          <w:kern w:val="44"/>
          <w:sz w:val="28"/>
          <w:szCs w:val="28"/>
          <w:highlight w:val="none"/>
          <w:lang w:val="en-US" w:eastAsia="zh-CN" w:bidi="ar-SA"/>
        </w:rPr>
        <w:t>3、会议室改造：目前会议室只具备现场会条件，需增加网络视频会议功能。</w:t>
      </w:r>
    </w:p>
    <w:p w14:paraId="5B895B88">
      <w:pPr>
        <w:pageBreakBefore w:val="0"/>
        <w:numPr>
          <w:ilvl w:val="0"/>
          <w:numId w:val="0"/>
        </w:numPr>
        <w:kinsoku/>
        <w:wordWrap/>
        <w:overflowPunct/>
        <w:topLinePunct w:val="0"/>
        <w:autoSpaceDE/>
        <w:autoSpaceDN/>
        <w:bidi w:val="0"/>
        <w:spacing w:line="360" w:lineRule="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（三）</w:t>
      </w:r>
      <w:r>
        <w:rPr>
          <w:rFonts w:hint="eastAsia" w:ascii="宋体" w:hAnsi="宋体" w:eastAsia="宋体" w:cs="宋体"/>
          <w:i w:val="0"/>
          <w:iCs w:val="0"/>
          <w:color w:val="000000"/>
          <w:kern w:val="0"/>
          <w:sz w:val="28"/>
          <w:szCs w:val="28"/>
          <w:highlight w:val="none"/>
          <w:u w:val="none"/>
          <w:lang w:val="en-US" w:eastAsia="zh-CN" w:bidi="ar"/>
        </w:rPr>
        <w:t>软件升级服务</w:t>
      </w:r>
    </w:p>
    <w:p w14:paraId="5E8E065D">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kern w:val="44"/>
          <w:sz w:val="28"/>
          <w:szCs w:val="28"/>
          <w:highlight w:val="none"/>
          <w:lang w:val="en-US" w:eastAsia="zh-CN" w:bidi="ar-SA"/>
        </w:rPr>
      </w:pPr>
      <w:r>
        <w:rPr>
          <w:rFonts w:hint="eastAsia" w:ascii="宋体" w:hAnsi="宋体" w:eastAsia="宋体" w:cs="宋体"/>
          <w:b w:val="0"/>
          <w:bCs/>
          <w:color w:val="auto"/>
          <w:kern w:val="44"/>
          <w:sz w:val="28"/>
          <w:szCs w:val="28"/>
          <w:highlight w:val="none"/>
          <w:lang w:val="en-US" w:eastAsia="zh-CN" w:bidi="ar-SA"/>
        </w:rPr>
        <w:t>1、为确保新增监控摄像头视频传输功能原有视频拼接软件需要升级。</w:t>
      </w:r>
    </w:p>
    <w:p w14:paraId="17630275">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kern w:val="44"/>
          <w:sz w:val="28"/>
          <w:szCs w:val="28"/>
          <w:highlight w:val="none"/>
          <w:lang w:val="en-US" w:eastAsia="zh-CN" w:bidi="ar-SA"/>
        </w:rPr>
      </w:pPr>
      <w:r>
        <w:rPr>
          <w:rFonts w:hint="eastAsia" w:ascii="宋体" w:hAnsi="宋体" w:eastAsia="宋体" w:cs="宋体"/>
          <w:b w:val="0"/>
          <w:bCs/>
          <w:color w:val="auto"/>
          <w:kern w:val="44"/>
          <w:sz w:val="28"/>
          <w:szCs w:val="28"/>
          <w:highlight w:val="none"/>
          <w:lang w:val="en-US" w:eastAsia="zh-CN" w:bidi="ar-SA"/>
        </w:rPr>
        <w:t>2、机房消防系统升级改造，为保护机房昂贵的电子设备和数据资源，对机房消防系统进行升级，让其相应速度更快。</w:t>
      </w:r>
    </w:p>
    <w:p w14:paraId="59D65970">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kern w:val="44"/>
          <w:sz w:val="28"/>
          <w:szCs w:val="28"/>
          <w:highlight w:val="none"/>
          <w:lang w:val="en-US" w:eastAsia="zh-CN" w:bidi="ar-SA"/>
        </w:rPr>
      </w:pPr>
      <w:r>
        <w:rPr>
          <w:rFonts w:hint="eastAsia" w:ascii="宋体" w:hAnsi="宋体" w:eastAsia="宋体" w:cs="宋体"/>
          <w:b w:val="0"/>
          <w:bCs/>
          <w:color w:val="auto"/>
          <w:kern w:val="44"/>
          <w:sz w:val="28"/>
          <w:szCs w:val="28"/>
          <w:highlight w:val="none"/>
          <w:lang w:val="en-US" w:eastAsia="zh-CN" w:bidi="ar-SA"/>
        </w:rPr>
        <w:t>3、防火墙的升级改造；病毒库升级。</w:t>
      </w:r>
    </w:p>
    <w:p w14:paraId="7B649873">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kern w:val="44"/>
          <w:sz w:val="28"/>
          <w:szCs w:val="28"/>
          <w:highlight w:val="none"/>
          <w:lang w:val="en-US" w:eastAsia="zh-CN" w:bidi="ar-SA"/>
        </w:rPr>
      </w:pPr>
      <w:r>
        <w:rPr>
          <w:rFonts w:hint="eastAsia" w:ascii="宋体" w:hAnsi="宋体" w:eastAsia="宋体" w:cs="宋体"/>
          <w:b w:val="0"/>
          <w:bCs/>
          <w:color w:val="auto"/>
          <w:kern w:val="44"/>
          <w:sz w:val="28"/>
          <w:szCs w:val="28"/>
          <w:highlight w:val="none"/>
          <w:lang w:val="en-US" w:eastAsia="zh-CN" w:bidi="ar-SA"/>
        </w:rPr>
        <w:t>4、底层架构升级。</w:t>
      </w:r>
    </w:p>
    <w:p w14:paraId="3AD9534C">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kern w:val="44"/>
          <w:sz w:val="28"/>
          <w:szCs w:val="28"/>
          <w:highlight w:val="none"/>
          <w:lang w:val="en-US" w:eastAsia="zh-CN" w:bidi="ar-SA"/>
        </w:rPr>
      </w:pPr>
      <w:r>
        <w:rPr>
          <w:rFonts w:hint="eastAsia" w:ascii="宋体" w:hAnsi="宋体" w:eastAsia="宋体" w:cs="宋体"/>
          <w:b w:val="0"/>
          <w:bCs/>
          <w:color w:val="auto"/>
          <w:kern w:val="44"/>
          <w:sz w:val="28"/>
          <w:szCs w:val="28"/>
          <w:highlight w:val="none"/>
          <w:lang w:val="en-US" w:eastAsia="zh-CN" w:bidi="ar-SA"/>
        </w:rPr>
        <w:t>本次项目的应用软件系统升级，为底层架构升级，架构引入云架构模式，更加注重用户的交互便捷性。系统采用web标准中的“CSS+XHTML”应用模式，并结合最新的Flex技术，使网站设计代码规范，并且减少了大量代码，减少网络带宽资源浪费，加快网站访问速度。应符合web标准的网站设计，使日常工作内容更加直观、工作界面更加友好、工作更加高效。</w:t>
      </w:r>
    </w:p>
    <w:p w14:paraId="04212E77">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kern w:val="44"/>
          <w:sz w:val="28"/>
          <w:szCs w:val="28"/>
          <w:highlight w:val="none"/>
          <w:lang w:val="en-US" w:eastAsia="zh-CN" w:bidi="ar-SA"/>
        </w:rPr>
      </w:pPr>
      <w:r>
        <w:rPr>
          <w:rFonts w:hint="eastAsia" w:ascii="宋体" w:hAnsi="宋体" w:eastAsia="宋体" w:cs="宋体"/>
          <w:b w:val="0"/>
          <w:bCs/>
          <w:color w:val="auto"/>
          <w:kern w:val="44"/>
          <w:sz w:val="28"/>
          <w:szCs w:val="28"/>
          <w:highlight w:val="none"/>
          <w:lang w:val="en-US" w:eastAsia="zh-CN" w:bidi="ar-SA"/>
        </w:rPr>
        <w:t>5、结合本次需求，对无线数据采集系统、地理编码子系统、应用维护子系统进行升级，系统提供丰富的空间分析和统计，进一步完善城市管理评价体系，为城市管理考核和辅助决策提供更有力的支持。</w:t>
      </w:r>
    </w:p>
    <w:p w14:paraId="0EFB4468">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kern w:val="44"/>
          <w:sz w:val="28"/>
          <w:szCs w:val="28"/>
          <w:highlight w:val="none"/>
          <w:lang w:val="en-US" w:eastAsia="zh-CN" w:bidi="ar-SA"/>
        </w:rPr>
      </w:pPr>
      <w:r>
        <w:rPr>
          <w:rFonts w:hint="eastAsia" w:ascii="宋体" w:hAnsi="宋体" w:eastAsia="宋体" w:cs="宋体"/>
          <w:b w:val="0"/>
          <w:bCs/>
          <w:color w:val="auto"/>
          <w:kern w:val="44"/>
          <w:sz w:val="28"/>
          <w:szCs w:val="28"/>
          <w:highlight w:val="none"/>
          <w:lang w:val="en-US" w:eastAsia="zh-CN" w:bidi="ar-SA"/>
        </w:rPr>
        <w:t>6、本次系统升级还结合目前全国数字城管成功案例的典型业务进行定制，能够支撑大数据量的业务，系统运行更加稳定、高效。另外系统采用国际最新的“JDK1.7 + Spring4.1”JAVA EE语言架构开发，能够实现跨平台部署，支持小型机、PC Server等多平台应用。</w:t>
      </w:r>
    </w:p>
    <w:p w14:paraId="02108C7C">
      <w:pPr>
        <w:pageBreakBefore w:val="0"/>
        <w:numPr>
          <w:ilvl w:val="0"/>
          <w:numId w:val="0"/>
        </w:numPr>
        <w:kinsoku/>
        <w:wordWrap/>
        <w:overflowPunct/>
        <w:topLinePunct w:val="0"/>
        <w:autoSpaceDE/>
        <w:autoSpaceDN/>
        <w:bidi w:val="0"/>
        <w:spacing w:line="360" w:lineRule="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（四）数据普查服务</w:t>
      </w:r>
    </w:p>
    <w:p w14:paraId="421184AD">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kern w:val="44"/>
          <w:sz w:val="28"/>
          <w:szCs w:val="28"/>
          <w:highlight w:val="none"/>
          <w:lang w:val="en-US" w:eastAsia="zh-CN" w:bidi="ar-SA"/>
        </w:rPr>
      </w:pPr>
      <w:r>
        <w:rPr>
          <w:rFonts w:hint="eastAsia" w:ascii="宋体" w:hAnsi="宋体" w:eastAsia="宋体" w:cs="宋体"/>
          <w:b w:val="0"/>
          <w:bCs/>
          <w:color w:val="auto"/>
          <w:kern w:val="44"/>
          <w:sz w:val="28"/>
          <w:szCs w:val="28"/>
          <w:highlight w:val="none"/>
          <w:lang w:val="en-US" w:eastAsia="zh-CN" w:bidi="ar-SA"/>
        </w:rPr>
        <w:t>因鲁山县城区规划原因，现鲁山县城区面积已变更，6年前原面积为16平方公里，现鲁山县城南新区新增10平方公里，鲁山县产业聚集区新增6.7平方公里，为使数据准确，需对新增面积重新进行普查采集并上传系统。</w:t>
      </w:r>
    </w:p>
    <w:p w14:paraId="3EE112C7">
      <w:pPr>
        <w:pageBreakBefore w:val="0"/>
        <w:numPr>
          <w:ilvl w:val="0"/>
          <w:numId w:val="0"/>
        </w:numPr>
        <w:kinsoku/>
        <w:wordWrap/>
        <w:overflowPunct/>
        <w:topLinePunct w:val="0"/>
        <w:autoSpaceDE/>
        <w:autoSpaceDN/>
        <w:bidi w:val="0"/>
        <w:spacing w:line="360" w:lineRule="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（五）</w:t>
      </w:r>
      <w:r>
        <w:rPr>
          <w:rFonts w:hint="eastAsia" w:ascii="宋体" w:hAnsi="宋体" w:eastAsia="宋体" w:cs="宋体"/>
          <w:i w:val="0"/>
          <w:iCs w:val="0"/>
          <w:color w:val="000000"/>
          <w:kern w:val="0"/>
          <w:sz w:val="28"/>
          <w:szCs w:val="28"/>
          <w:highlight w:val="none"/>
          <w:u w:val="none"/>
          <w:lang w:val="en-US" w:eastAsia="zh-CN" w:bidi="ar"/>
        </w:rPr>
        <w:t>电子政务外网系统升级</w:t>
      </w:r>
    </w:p>
    <w:p w14:paraId="6160C1E6">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kern w:val="44"/>
          <w:sz w:val="28"/>
          <w:szCs w:val="28"/>
          <w:highlight w:val="none"/>
          <w:lang w:val="en-US" w:eastAsia="zh-CN" w:bidi="ar-SA"/>
        </w:rPr>
      </w:pPr>
      <w:r>
        <w:rPr>
          <w:rFonts w:hint="eastAsia" w:ascii="宋体" w:hAnsi="宋体" w:eastAsia="宋体" w:cs="宋体"/>
          <w:b w:val="0"/>
          <w:bCs/>
          <w:color w:val="auto"/>
          <w:kern w:val="44"/>
          <w:sz w:val="28"/>
          <w:szCs w:val="28"/>
          <w:highlight w:val="none"/>
          <w:lang w:val="en-US" w:eastAsia="zh-CN" w:bidi="ar-SA"/>
        </w:rPr>
        <w:t>应平顶山市城管中心要求，需将县中心的数据通过电子政务外网上传至市中心平台，达到互联互通，现需新增电子政务外网业务。</w:t>
      </w:r>
    </w:p>
    <w:p w14:paraId="74E95EAB">
      <w:pPr>
        <w:pageBreakBefore w:val="0"/>
        <w:numPr>
          <w:ilvl w:val="0"/>
          <w:numId w:val="0"/>
        </w:numPr>
        <w:kinsoku/>
        <w:wordWrap/>
        <w:overflowPunct/>
        <w:topLinePunct w:val="0"/>
        <w:autoSpaceDE/>
        <w:autoSpaceDN/>
        <w:bidi w:val="0"/>
        <w:spacing w:line="360" w:lineRule="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（六）</w:t>
      </w:r>
      <w:r>
        <w:rPr>
          <w:rFonts w:hint="eastAsia" w:ascii="宋体" w:hAnsi="宋体" w:eastAsia="宋体" w:cs="宋体"/>
          <w:i w:val="0"/>
          <w:iCs w:val="0"/>
          <w:color w:val="000000"/>
          <w:kern w:val="0"/>
          <w:sz w:val="28"/>
          <w:szCs w:val="28"/>
          <w:highlight w:val="none"/>
          <w:u w:val="none"/>
          <w:lang w:val="en-US" w:eastAsia="zh-CN" w:bidi="ar"/>
        </w:rPr>
        <w:t>文明城市评测监控服务</w:t>
      </w:r>
    </w:p>
    <w:p w14:paraId="25B254C5">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kern w:val="44"/>
          <w:sz w:val="28"/>
          <w:szCs w:val="28"/>
          <w:highlight w:val="none"/>
          <w:lang w:val="en-US" w:eastAsia="zh-CN" w:bidi="ar-SA"/>
        </w:rPr>
      </w:pPr>
      <w:r>
        <w:rPr>
          <w:rFonts w:hint="eastAsia" w:ascii="宋体" w:hAnsi="宋体" w:eastAsia="宋体" w:cs="宋体"/>
          <w:b w:val="0"/>
          <w:bCs/>
          <w:color w:val="auto"/>
          <w:kern w:val="44"/>
          <w:sz w:val="28"/>
          <w:szCs w:val="28"/>
          <w:highlight w:val="none"/>
          <w:lang w:val="en-US" w:eastAsia="zh-CN" w:bidi="ar-SA"/>
        </w:rPr>
        <w:t>随着科技发展，监控系统也逐步融入城市文明建设工作中。利用智能监控系统推进城市文明建设，对城市摄像头覆盖区域的不文明现象第一时间发现、并推动整改。消除“临时突击”“应检文明”的弊端，真正推动动态清零的常态化文明。根据前期勘查规划，计划在鲁山县城区内增加42个点位监控，其中3个点位规划安装智能摄像机，具有AI识别识别流动商贩在便民售卖点经营，不占用消防通道和斑马线，不影响行人和车辆正常通行；共享单车在指定区域线内停放，整齐有序；无争吵谩骂、乱扔垃圾、车窗抛物、随地吐痰、损坏公物、不文明养宠等功能。</w:t>
      </w:r>
    </w:p>
    <w:p w14:paraId="18A952F9">
      <w:pPr>
        <w:pStyle w:val="3"/>
        <w:numPr>
          <w:numId w:val="0"/>
        </w:numPr>
        <w:bidi w:val="0"/>
        <w:ind w:leftChars="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bookmarkStart w:id="564" w:name="_Toc13179"/>
      <w:r>
        <w:rPr>
          <w:rFonts w:hint="eastAsia" w:ascii="宋体" w:hAnsi="宋体" w:cs="宋体"/>
          <w:b/>
          <w:bCs/>
          <w:color w:val="auto"/>
          <w:sz w:val="36"/>
          <w:szCs w:val="36"/>
          <w:highlight w:val="none"/>
        </w:rPr>
        <w:t>第六章 投标文件格式</w:t>
      </w:r>
      <w:bookmarkEnd w:id="562"/>
      <w:bookmarkEnd w:id="563"/>
      <w:bookmarkEnd w:id="564"/>
    </w:p>
    <w:p w14:paraId="291DAB80">
      <w:pPr>
        <w:spacing w:line="360" w:lineRule="auto"/>
        <w:jc w:val="right"/>
        <w:rPr>
          <w:rFonts w:hint="eastAsia" w:ascii="宋体" w:hAnsi="宋体" w:cs="宋体"/>
          <w:color w:val="auto"/>
          <w:sz w:val="28"/>
          <w:szCs w:val="28"/>
          <w:highlight w:val="none"/>
        </w:rPr>
      </w:pPr>
      <w:r>
        <w:rPr>
          <w:rFonts w:hint="eastAsia" w:ascii="宋体" w:hAnsi="宋体" w:cs="宋体"/>
          <w:color w:val="auto"/>
          <w:highlight w:val="none"/>
        </w:rPr>
        <w:t xml:space="preserve">                                </w:t>
      </w:r>
      <w:r>
        <w:rPr>
          <w:rFonts w:hint="eastAsia" w:ascii="宋体" w:hAnsi="宋体" w:cs="宋体"/>
          <w:color w:val="auto"/>
          <w:sz w:val="28"/>
          <w:szCs w:val="28"/>
          <w:highlight w:val="none"/>
        </w:rPr>
        <w:t xml:space="preserve"> </w:t>
      </w:r>
    </w:p>
    <w:p w14:paraId="7CA1A177">
      <w:pPr>
        <w:spacing w:line="360" w:lineRule="auto"/>
        <w:rPr>
          <w:rFonts w:hint="eastAsia" w:ascii="宋体" w:hAnsi="宋体" w:cs="宋体"/>
          <w:b/>
          <w:color w:val="auto"/>
          <w:sz w:val="32"/>
          <w:szCs w:val="32"/>
          <w:highlight w:val="none"/>
          <w:u w:val="single"/>
        </w:rPr>
      </w:pPr>
    </w:p>
    <w:p w14:paraId="03D19054">
      <w:pPr>
        <w:spacing w:line="360" w:lineRule="auto"/>
        <w:ind w:left="215"/>
        <w:jc w:val="center"/>
        <w:rPr>
          <w:rFonts w:hint="eastAsia" w:ascii="宋体" w:hAnsi="宋体" w:cs="宋体"/>
          <w:b/>
          <w:color w:val="auto"/>
          <w:sz w:val="40"/>
          <w:highlight w:val="none"/>
        </w:rPr>
      </w:pPr>
      <w:r>
        <w:rPr>
          <w:rFonts w:hint="eastAsia" w:ascii="宋体" w:hAnsi="宋体" w:cs="宋体"/>
          <w:b/>
          <w:color w:val="auto"/>
          <w:w w:val="99"/>
          <w:sz w:val="30"/>
          <w:highlight w:val="none"/>
          <w:u w:val="single"/>
        </w:rPr>
        <w:t xml:space="preserve">                           </w:t>
      </w:r>
      <w:r>
        <w:rPr>
          <w:rFonts w:hint="eastAsia" w:ascii="宋体" w:hAnsi="宋体" w:cs="宋体"/>
          <w:b/>
          <w:color w:val="auto"/>
          <w:w w:val="95"/>
          <w:sz w:val="30"/>
          <w:highlight w:val="none"/>
          <w:u w:val="single"/>
        </w:rPr>
        <w:t>(项目名称</w:t>
      </w:r>
      <w:r>
        <w:rPr>
          <w:rFonts w:hint="eastAsia" w:ascii="宋体" w:hAnsi="宋体" w:cs="宋体"/>
          <w:b/>
          <w:color w:val="auto"/>
          <w:w w:val="95"/>
          <w:sz w:val="30"/>
          <w:highlight w:val="none"/>
          <w:u w:val="single"/>
          <w:lang w:val="en-US" w:eastAsia="zh-CN"/>
        </w:rPr>
        <w:t>及标段</w:t>
      </w:r>
      <w:r>
        <w:rPr>
          <w:rFonts w:hint="eastAsia" w:ascii="宋体" w:hAnsi="宋体" w:cs="宋体"/>
          <w:b/>
          <w:color w:val="auto"/>
          <w:w w:val="95"/>
          <w:sz w:val="30"/>
          <w:highlight w:val="none"/>
          <w:u w:val="single"/>
        </w:rPr>
        <w:t>)</w:t>
      </w:r>
      <w:r>
        <w:rPr>
          <w:rFonts w:hint="eastAsia" w:ascii="宋体" w:hAnsi="宋体" w:cs="宋体"/>
          <w:b/>
          <w:color w:val="auto"/>
          <w:w w:val="99"/>
          <w:sz w:val="40"/>
          <w:highlight w:val="none"/>
        </w:rPr>
        <w:t xml:space="preserve"> </w:t>
      </w:r>
    </w:p>
    <w:p w14:paraId="16F07C1E">
      <w:pPr>
        <w:pStyle w:val="8"/>
        <w:spacing w:line="360" w:lineRule="auto"/>
        <w:rPr>
          <w:rFonts w:hint="eastAsia" w:ascii="宋体" w:hAnsi="宋体" w:cs="宋体"/>
          <w:b/>
          <w:color w:val="auto"/>
          <w:sz w:val="40"/>
          <w:highlight w:val="none"/>
        </w:rPr>
      </w:pPr>
    </w:p>
    <w:p w14:paraId="57AC365E">
      <w:pPr>
        <w:spacing w:line="360" w:lineRule="auto"/>
        <w:jc w:val="center"/>
        <w:rPr>
          <w:rFonts w:hint="eastAsia" w:ascii="宋体" w:hAnsi="宋体" w:cs="宋体"/>
          <w:b/>
          <w:color w:val="auto"/>
          <w:sz w:val="40"/>
          <w:highlight w:val="none"/>
        </w:rPr>
      </w:pPr>
    </w:p>
    <w:p w14:paraId="40CA42E0">
      <w:pPr>
        <w:spacing w:line="360" w:lineRule="auto"/>
        <w:ind w:firstLine="420" w:firstLineChars="200"/>
        <w:rPr>
          <w:rFonts w:hint="eastAsia" w:ascii="宋体" w:hAnsi="宋体" w:cs="宋体"/>
          <w:color w:val="auto"/>
          <w:highlight w:val="none"/>
        </w:rPr>
      </w:pPr>
    </w:p>
    <w:p w14:paraId="75BE11BF">
      <w:pPr>
        <w:rPr>
          <w:rFonts w:hint="eastAsia" w:ascii="宋体" w:hAnsi="宋体" w:cs="宋体"/>
          <w:color w:val="auto"/>
          <w:highlight w:val="none"/>
        </w:rPr>
      </w:pPr>
    </w:p>
    <w:p w14:paraId="1619F77C">
      <w:pPr>
        <w:spacing w:line="360" w:lineRule="auto"/>
        <w:ind w:firstLine="1928" w:firstLineChars="200"/>
        <w:rPr>
          <w:rFonts w:hint="eastAsia" w:ascii="宋体" w:hAnsi="宋体" w:cs="宋体"/>
          <w:b/>
          <w:color w:val="auto"/>
          <w:sz w:val="96"/>
          <w:szCs w:val="72"/>
          <w:highlight w:val="none"/>
        </w:rPr>
      </w:pPr>
      <w:r>
        <w:rPr>
          <w:rFonts w:hint="eastAsia" w:ascii="宋体" w:hAnsi="宋体" w:cs="宋体"/>
          <w:b/>
          <w:color w:val="auto"/>
          <w:sz w:val="96"/>
          <w:szCs w:val="72"/>
          <w:highlight w:val="none"/>
        </w:rPr>
        <w:t>投 标 文 件</w:t>
      </w:r>
    </w:p>
    <w:p w14:paraId="5AC11D8D">
      <w:pPr>
        <w:spacing w:line="360" w:lineRule="auto"/>
        <w:ind w:firstLine="2660" w:firstLineChars="950"/>
        <w:rPr>
          <w:rFonts w:hint="eastAsia" w:ascii="宋体" w:hAnsi="宋体" w:cs="宋体"/>
          <w:b/>
          <w:color w:val="auto"/>
          <w:sz w:val="28"/>
          <w:szCs w:val="72"/>
          <w:highlight w:val="none"/>
        </w:rPr>
      </w:pPr>
      <w:r>
        <w:rPr>
          <w:rFonts w:hint="eastAsia" w:ascii="宋体" w:hAnsi="宋体" w:cs="宋体"/>
          <w:color w:val="auto"/>
          <w:sz w:val="28"/>
          <w:szCs w:val="72"/>
          <w:highlight w:val="none"/>
        </w:rPr>
        <w:t xml:space="preserve"> </w:t>
      </w:r>
      <w:r>
        <w:rPr>
          <w:rFonts w:hint="eastAsia" w:ascii="宋体" w:hAnsi="宋体" w:cs="宋体"/>
          <w:b/>
          <w:color w:val="auto"/>
          <w:sz w:val="28"/>
          <w:szCs w:val="72"/>
          <w:highlight w:val="none"/>
        </w:rPr>
        <w:t>采购编号：</w:t>
      </w:r>
    </w:p>
    <w:p w14:paraId="643BEC9A">
      <w:pPr>
        <w:spacing w:line="360" w:lineRule="auto"/>
        <w:ind w:firstLine="420" w:firstLineChars="200"/>
        <w:rPr>
          <w:rFonts w:hint="eastAsia" w:ascii="宋体" w:hAnsi="宋体" w:cs="宋体"/>
          <w:color w:val="auto"/>
          <w:highlight w:val="none"/>
        </w:rPr>
      </w:pPr>
    </w:p>
    <w:p w14:paraId="660B86D4">
      <w:pPr>
        <w:spacing w:line="360" w:lineRule="auto"/>
        <w:ind w:firstLine="420" w:firstLineChars="200"/>
        <w:rPr>
          <w:rFonts w:hint="eastAsia" w:ascii="宋体" w:hAnsi="宋体" w:cs="宋体"/>
          <w:color w:val="auto"/>
          <w:highlight w:val="none"/>
        </w:rPr>
      </w:pPr>
    </w:p>
    <w:p w14:paraId="1C08C2CF">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p>
    <w:p w14:paraId="3445B644">
      <w:pPr>
        <w:spacing w:line="360" w:lineRule="auto"/>
        <w:rPr>
          <w:rFonts w:hint="eastAsia" w:ascii="宋体" w:hAnsi="宋体" w:cs="宋体"/>
          <w:color w:val="auto"/>
          <w:highlight w:val="none"/>
        </w:rPr>
      </w:pPr>
    </w:p>
    <w:p w14:paraId="401D9840">
      <w:pPr>
        <w:spacing w:line="360" w:lineRule="auto"/>
        <w:rPr>
          <w:rFonts w:hint="eastAsia" w:ascii="宋体" w:hAnsi="宋体" w:cs="宋体"/>
          <w:color w:val="auto"/>
          <w:highlight w:val="none"/>
        </w:rPr>
      </w:pPr>
    </w:p>
    <w:p w14:paraId="0D99ADE3">
      <w:pPr>
        <w:spacing w:line="360" w:lineRule="auto"/>
        <w:rPr>
          <w:rFonts w:hint="eastAsia" w:ascii="宋体" w:hAnsi="宋体" w:cs="宋体"/>
          <w:color w:val="auto"/>
          <w:highlight w:val="none"/>
        </w:rPr>
      </w:pPr>
    </w:p>
    <w:p w14:paraId="1175EDDF">
      <w:pPr>
        <w:spacing w:line="360" w:lineRule="auto"/>
        <w:rPr>
          <w:rFonts w:hint="eastAsia" w:ascii="宋体" w:hAnsi="宋体" w:cs="宋体"/>
          <w:color w:val="auto"/>
          <w:sz w:val="28"/>
          <w:szCs w:val="28"/>
          <w:highlight w:val="none"/>
        </w:rPr>
      </w:pPr>
    </w:p>
    <w:p w14:paraId="490D770A">
      <w:pPr>
        <w:spacing w:line="360" w:lineRule="auto"/>
        <w:rPr>
          <w:rFonts w:hint="eastAsia" w:ascii="宋体" w:hAnsi="宋体" w:cs="宋体"/>
          <w:color w:val="auto"/>
          <w:sz w:val="28"/>
          <w:szCs w:val="28"/>
          <w:highlight w:val="none"/>
        </w:rPr>
      </w:pPr>
    </w:p>
    <w:p w14:paraId="5600033C">
      <w:pPr>
        <w:spacing w:line="360" w:lineRule="auto"/>
        <w:ind w:firstLine="1960" w:firstLineChars="700"/>
        <w:rPr>
          <w:rFonts w:hint="eastAsia" w:ascii="宋体" w:hAnsi="宋体" w:cs="宋体"/>
          <w:color w:val="auto"/>
          <w:sz w:val="28"/>
          <w:szCs w:val="28"/>
          <w:highlight w:val="non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（电子签章）</w:t>
      </w:r>
    </w:p>
    <w:p w14:paraId="4B36BC75">
      <w:pPr>
        <w:spacing w:line="360" w:lineRule="auto"/>
        <w:ind w:firstLine="1960" w:firstLineChars="70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（电子签章）</w:t>
      </w:r>
    </w:p>
    <w:p w14:paraId="50E0BD5C">
      <w:pPr>
        <w:spacing w:line="360" w:lineRule="auto"/>
        <w:ind w:firstLine="1960" w:firstLineChars="700"/>
        <w:rPr>
          <w:rFonts w:hint="eastAsia" w:ascii="宋体" w:hAnsi="宋体" w:cs="宋体"/>
          <w:color w:val="auto"/>
          <w:sz w:val="28"/>
          <w:szCs w:val="28"/>
          <w:highlight w:val="none"/>
        </w:rPr>
      </w:pPr>
      <w:r>
        <w:rPr>
          <w:rFonts w:hint="eastAsia" w:ascii="宋体" w:hAnsi="宋体" w:cs="宋体"/>
          <w:color w:val="auto"/>
          <w:sz w:val="28"/>
          <w:szCs w:val="28"/>
          <w:highlight w:val="none"/>
        </w:rPr>
        <w:t>日期：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70E3900D">
      <w:pPr>
        <w:spacing w:line="360" w:lineRule="auto"/>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rPr>
        <w:br w:type="page"/>
      </w:r>
      <w:r>
        <w:rPr>
          <w:rFonts w:hint="eastAsia" w:ascii="宋体" w:hAnsi="宋体" w:cs="宋体"/>
          <w:b/>
          <w:bCs/>
          <w:color w:val="auto"/>
          <w:sz w:val="40"/>
          <w:szCs w:val="40"/>
          <w:highlight w:val="none"/>
        </w:rPr>
        <w:t>目   录</w:t>
      </w:r>
    </w:p>
    <w:p w14:paraId="0F590B45">
      <w:pPr>
        <w:spacing w:line="360" w:lineRule="auto"/>
        <w:jc w:val="center"/>
        <w:rPr>
          <w:rFonts w:hint="eastAsia" w:ascii="宋体" w:hAnsi="宋体" w:cs="宋体"/>
          <w:b/>
          <w:bCs/>
          <w:color w:val="auto"/>
          <w:sz w:val="40"/>
          <w:szCs w:val="40"/>
          <w:highlight w:val="none"/>
        </w:rPr>
      </w:pPr>
    </w:p>
    <w:p w14:paraId="256B555C">
      <w:pPr>
        <w:tabs>
          <w:tab w:val="left" w:pos="0"/>
        </w:tabs>
        <w:spacing w:line="360" w:lineRule="auto"/>
        <w:jc w:val="center"/>
        <w:rPr>
          <w:rFonts w:hint="eastAsia" w:ascii="宋体" w:hAnsi="宋体" w:cs="宋体"/>
          <w:color w:val="auto"/>
          <w:sz w:val="22"/>
          <w:szCs w:val="22"/>
          <w:highlight w:val="none"/>
        </w:rPr>
      </w:pPr>
      <w:r>
        <w:rPr>
          <w:rFonts w:hint="eastAsia" w:ascii="宋体" w:hAnsi="宋体" w:cs="宋体"/>
          <w:color w:val="auto"/>
          <w:sz w:val="28"/>
          <w:szCs w:val="28"/>
          <w:highlight w:val="none"/>
        </w:rPr>
        <w:t>（由投标人根据投标文件自行编制）</w:t>
      </w:r>
    </w:p>
    <w:p w14:paraId="44D794AE">
      <w:pPr>
        <w:pStyle w:val="4"/>
        <w:numPr>
          <w:ilvl w:val="0"/>
          <w:numId w:val="0"/>
        </w:numPr>
        <w:spacing w:line="360" w:lineRule="auto"/>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br w:type="page"/>
      </w:r>
      <w:bookmarkStart w:id="565" w:name="_Toc29869"/>
      <w:bookmarkStart w:id="566" w:name="_Toc16397"/>
      <w:bookmarkStart w:id="567" w:name="_Toc7204"/>
      <w:bookmarkStart w:id="568" w:name="_Toc23038"/>
      <w:bookmarkStart w:id="569" w:name="_Toc11153"/>
      <w:r>
        <w:rPr>
          <w:rFonts w:hint="eastAsia" w:ascii="宋体" w:hAnsi="宋体" w:eastAsia="宋体" w:cs="宋体"/>
          <w:b/>
          <w:bCs/>
          <w:color w:val="auto"/>
          <w:kern w:val="2"/>
          <w:sz w:val="40"/>
          <w:szCs w:val="40"/>
          <w:highlight w:val="none"/>
          <w:lang w:val="en-US" w:eastAsia="zh-CN"/>
        </w:rPr>
        <w:t>一、投标函</w:t>
      </w:r>
      <w:bookmarkEnd w:id="565"/>
      <w:bookmarkEnd w:id="566"/>
      <w:bookmarkEnd w:id="567"/>
      <w:bookmarkEnd w:id="568"/>
      <w:bookmarkEnd w:id="569"/>
    </w:p>
    <w:p w14:paraId="295FE05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（采购人名称）：</w:t>
      </w:r>
    </w:p>
    <w:p w14:paraId="43D4AA3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（项目名称</w:t>
      </w:r>
      <w:r>
        <w:rPr>
          <w:rFonts w:hint="eastAsia" w:ascii="宋体" w:hAnsi="宋体" w:cs="宋体"/>
          <w:color w:val="auto"/>
          <w:sz w:val="24"/>
          <w:szCs w:val="24"/>
          <w:highlight w:val="none"/>
          <w:u w:val="single"/>
          <w:lang w:eastAsia="zh-CN"/>
        </w:rPr>
        <w:t>及标段</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招标文件的全部内容，愿意以投标总价（大写)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元）完成本项目，服务期限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，按合同约定进行服务 ，服务质量要求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5641FBB">
      <w:pPr>
        <w:widowControl/>
        <w:spacing w:line="360" w:lineRule="auto"/>
        <w:ind w:firstLine="360" w:firstLineChars="15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kern w:val="0"/>
          <w:sz w:val="24"/>
          <w:szCs w:val="24"/>
          <w:highlight w:val="none"/>
        </w:rPr>
        <w:t>如果采购人接受我们的投标，我们将保证在接到通知书后，按照本招标文件中写明的时间内承担起本项目实施工作，并达到合同规定的要求。</w:t>
      </w:r>
    </w:p>
    <w:p w14:paraId="7BE7585E">
      <w:pPr>
        <w:widowControl/>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3、我们同意在开标之日起</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天的投标文件有效期内，严格遵守本招标招标文件的各项承诺。在此期限届满之前，本投标文件始终将对我方具有约束力，并随时接受成交。</w:t>
      </w:r>
    </w:p>
    <w:p w14:paraId="3FCBB848">
      <w:pPr>
        <w:widowControl/>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4、在合同协议书正式签署生效前，招标文件（含补充文件）、本投标文件连同</w:t>
      </w:r>
      <w:r>
        <w:rPr>
          <w:rFonts w:hint="eastAsia" w:ascii="宋体" w:hAnsi="宋体" w:cs="宋体"/>
          <w:color w:val="auto"/>
          <w:kern w:val="0"/>
          <w:sz w:val="24"/>
          <w:szCs w:val="24"/>
          <w:highlight w:val="none"/>
          <w:lang w:val="en-US" w:eastAsia="zh-CN"/>
        </w:rPr>
        <w:t>中标</w:t>
      </w:r>
      <w:r>
        <w:rPr>
          <w:rFonts w:hint="eastAsia" w:ascii="宋体" w:hAnsi="宋体" w:cs="宋体"/>
          <w:color w:val="auto"/>
          <w:kern w:val="0"/>
          <w:sz w:val="24"/>
          <w:szCs w:val="24"/>
          <w:highlight w:val="none"/>
        </w:rPr>
        <w:t>结果通知书将构成我们双方之间共同遵守的合同文件，对双方具有约束力。</w:t>
      </w:r>
    </w:p>
    <w:p w14:paraId="76DA6FA9">
      <w:pPr>
        <w:widowControl/>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5、我们理解采购人不一定接受最低报价的投标；同时也理解，采购人不承担我们任何投标费用的声明。</w:t>
      </w:r>
    </w:p>
    <w:p w14:paraId="5996874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6、其他：</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14:paraId="595CD53F">
      <w:pPr>
        <w:pStyle w:val="19"/>
        <w:widowControl/>
        <w:spacing w:line="360" w:lineRule="auto"/>
        <w:ind w:firstLine="480" w:firstLineChars="200"/>
        <w:rPr>
          <w:rFonts w:hint="eastAsia" w:ascii="宋体" w:hAnsi="宋体" w:cs="宋体"/>
          <w:color w:val="auto"/>
          <w:highlight w:val="none"/>
        </w:rPr>
      </w:pPr>
    </w:p>
    <w:p w14:paraId="7F60430C">
      <w:pPr>
        <w:pStyle w:val="19"/>
        <w:widowControl/>
        <w:spacing w:line="360" w:lineRule="auto"/>
        <w:ind w:firstLine="480" w:firstLineChars="200"/>
        <w:jc w:val="center"/>
        <w:rPr>
          <w:rFonts w:hint="eastAsia" w:ascii="宋体" w:hAnsi="宋体" w:cs="宋体"/>
          <w:color w:val="auto"/>
          <w:highlight w:val="none"/>
        </w:rPr>
      </w:pPr>
      <w:r>
        <w:rPr>
          <w:rFonts w:hint="eastAsia" w:ascii="宋体" w:hAnsi="宋体" w:cs="宋体"/>
          <w:color w:val="auto"/>
          <w:highlight w:val="none"/>
        </w:rPr>
        <w:t xml:space="preserve">          投标人：</w:t>
      </w:r>
      <w:r>
        <w:rPr>
          <w:rFonts w:hint="eastAsia" w:ascii="宋体" w:hAnsi="宋体" w:cs="宋体"/>
          <w:color w:val="auto"/>
          <w:highlight w:val="none"/>
          <w:u w:val="single"/>
        </w:rPr>
        <w:t>          </w:t>
      </w:r>
      <w:r>
        <w:rPr>
          <w:rFonts w:hint="eastAsia" w:ascii="宋体" w:hAnsi="宋体" w:cs="宋体"/>
          <w:color w:val="auto"/>
          <w:highlight w:val="none"/>
        </w:rPr>
        <w:t>（</w:t>
      </w:r>
      <w:r>
        <w:rPr>
          <w:rFonts w:hint="eastAsia" w:ascii="宋体" w:hAnsi="宋体" w:cs="宋体"/>
          <w:color w:val="auto"/>
          <w:kern w:val="2"/>
          <w:highlight w:val="none"/>
        </w:rPr>
        <w:t>电子签章</w:t>
      </w:r>
      <w:r>
        <w:rPr>
          <w:rFonts w:hint="eastAsia" w:ascii="宋体" w:hAnsi="宋体" w:cs="宋体"/>
          <w:color w:val="auto"/>
          <w:highlight w:val="none"/>
        </w:rPr>
        <w:t>）</w:t>
      </w:r>
    </w:p>
    <w:p w14:paraId="23E60342">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（电子签章）</w:t>
      </w:r>
    </w:p>
    <w:p w14:paraId="713BD54C">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1388F9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none"/>
          <w:lang w:val="en-US" w:eastAsia="zh-CN"/>
        </w:rPr>
        <w:t>日  期：</w:t>
      </w:r>
      <w:r>
        <w:rPr>
          <w:rFonts w:hint="eastAsia" w:ascii="宋体" w:hAnsi="宋体" w:cs="宋体"/>
          <w:color w:val="auto"/>
          <w:sz w:val="24"/>
          <w:szCs w:val="24"/>
          <w:highlight w:val="none"/>
          <w:u w:val="single"/>
          <w:lang w:val="en-US" w:eastAsia="zh-CN"/>
        </w:rPr>
        <w:t xml:space="preserve">          </w:t>
      </w:r>
    </w:p>
    <w:p w14:paraId="377513B9">
      <w:pPr>
        <w:pStyle w:val="33"/>
        <w:spacing w:line="360" w:lineRule="auto"/>
        <w:ind w:firstLine="0"/>
        <w:rPr>
          <w:rFonts w:hint="eastAsia" w:ascii="宋体" w:hAnsi="宋体" w:eastAsia="宋体" w:cs="宋体"/>
          <w:color w:val="auto"/>
          <w:sz w:val="22"/>
          <w:szCs w:val="22"/>
          <w:highlight w:val="none"/>
        </w:rPr>
      </w:pPr>
      <w:r>
        <w:rPr>
          <w:rFonts w:hint="eastAsia" w:ascii="宋体" w:hAnsi="宋体" w:eastAsia="宋体" w:cs="宋体"/>
          <w:b/>
          <w:bCs/>
          <w:color w:val="auto"/>
          <w:highlight w:val="none"/>
        </w:rPr>
        <w:br w:type="page"/>
      </w:r>
    </w:p>
    <w:p w14:paraId="7908CE4F">
      <w:pPr>
        <w:pStyle w:val="4"/>
        <w:numPr>
          <w:ilvl w:val="0"/>
          <w:numId w:val="0"/>
        </w:numPr>
        <w:spacing w:line="360" w:lineRule="auto"/>
        <w:jc w:val="center"/>
        <w:rPr>
          <w:rFonts w:hint="eastAsia" w:ascii="宋体" w:hAnsi="宋体" w:eastAsia="宋体" w:cs="宋体"/>
          <w:b/>
          <w:bCs/>
          <w:color w:val="auto"/>
          <w:sz w:val="40"/>
          <w:szCs w:val="40"/>
          <w:highlight w:val="none"/>
        </w:rPr>
      </w:pPr>
      <w:bookmarkStart w:id="570" w:name="_Toc30128"/>
      <w:bookmarkStart w:id="571" w:name="_Toc3729"/>
      <w:bookmarkStart w:id="572" w:name="_Toc310"/>
      <w:bookmarkStart w:id="573" w:name="_Toc15140"/>
      <w:bookmarkStart w:id="574" w:name="_Toc303"/>
      <w:r>
        <w:rPr>
          <w:rFonts w:hint="eastAsia" w:ascii="宋体" w:hAnsi="宋体" w:eastAsia="宋体" w:cs="宋体"/>
          <w:b/>
          <w:bCs/>
          <w:color w:val="auto"/>
          <w:kern w:val="2"/>
          <w:sz w:val="40"/>
          <w:szCs w:val="40"/>
          <w:highlight w:val="none"/>
          <w:lang w:val="en-US" w:eastAsia="zh-CN"/>
        </w:rPr>
        <w:t>二、</w:t>
      </w:r>
      <w:bookmarkEnd w:id="570"/>
      <w:bookmarkEnd w:id="571"/>
      <w:r>
        <w:rPr>
          <w:rFonts w:hint="eastAsia" w:ascii="宋体" w:hAnsi="宋体" w:eastAsia="宋体" w:cs="宋体"/>
          <w:b/>
          <w:bCs/>
          <w:color w:val="auto"/>
          <w:sz w:val="40"/>
          <w:szCs w:val="40"/>
          <w:highlight w:val="none"/>
        </w:rPr>
        <w:t>开标一览表</w:t>
      </w:r>
    </w:p>
    <w:tbl>
      <w:tblPr>
        <w:tblStyle w:val="22"/>
        <w:tblW w:w="9407" w:type="dxa"/>
        <w:jc w:val="center"/>
        <w:tblLayout w:type="fixed"/>
        <w:tblCellMar>
          <w:top w:w="0" w:type="dxa"/>
          <w:left w:w="0" w:type="dxa"/>
          <w:bottom w:w="0" w:type="dxa"/>
          <w:right w:w="0" w:type="dxa"/>
        </w:tblCellMar>
      </w:tblPr>
      <w:tblGrid>
        <w:gridCol w:w="2400"/>
        <w:gridCol w:w="7007"/>
      </w:tblGrid>
      <w:tr w14:paraId="4C835A5B">
        <w:tblPrEx>
          <w:tblCellMar>
            <w:top w:w="0" w:type="dxa"/>
            <w:left w:w="0" w:type="dxa"/>
            <w:bottom w:w="0" w:type="dxa"/>
            <w:right w:w="0" w:type="dxa"/>
          </w:tblCellMar>
        </w:tblPrEx>
        <w:trPr>
          <w:trHeight w:val="927"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5F9A1761">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val="en-US" w:eastAsia="zh-CN"/>
              </w:rPr>
              <w:t>及标段</w:t>
            </w:r>
          </w:p>
        </w:tc>
        <w:tc>
          <w:tcPr>
            <w:tcW w:w="7007" w:type="dxa"/>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14:paraId="04AE1343">
            <w:pPr>
              <w:widowControl/>
              <w:spacing w:line="360" w:lineRule="auto"/>
              <w:jc w:val="center"/>
              <w:rPr>
                <w:rFonts w:hint="eastAsia" w:ascii="宋体" w:hAnsi="宋体" w:cs="宋体"/>
                <w:color w:val="auto"/>
                <w:sz w:val="24"/>
                <w:szCs w:val="24"/>
                <w:highlight w:val="none"/>
              </w:rPr>
            </w:pPr>
          </w:p>
        </w:tc>
      </w:tr>
      <w:tr w14:paraId="32D03D7C">
        <w:tblPrEx>
          <w:tblCellMar>
            <w:top w:w="0" w:type="dxa"/>
            <w:left w:w="0" w:type="dxa"/>
            <w:bottom w:w="0" w:type="dxa"/>
            <w:right w:w="0" w:type="dxa"/>
          </w:tblCellMar>
        </w:tblPrEx>
        <w:trPr>
          <w:trHeight w:val="927"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5DD55B0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7007" w:type="dxa"/>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14:paraId="5A161006">
            <w:pPr>
              <w:widowControl/>
              <w:spacing w:line="360" w:lineRule="auto"/>
              <w:jc w:val="center"/>
              <w:rPr>
                <w:rFonts w:hint="eastAsia" w:ascii="宋体" w:hAnsi="宋体" w:cs="宋体"/>
                <w:color w:val="auto"/>
                <w:sz w:val="24"/>
                <w:szCs w:val="24"/>
                <w:highlight w:val="none"/>
              </w:rPr>
            </w:pPr>
          </w:p>
        </w:tc>
      </w:tr>
      <w:tr w14:paraId="09D50783">
        <w:tblPrEx>
          <w:tblCellMar>
            <w:top w:w="0" w:type="dxa"/>
            <w:left w:w="0" w:type="dxa"/>
            <w:bottom w:w="0" w:type="dxa"/>
            <w:right w:w="0" w:type="dxa"/>
          </w:tblCellMar>
        </w:tblPrEx>
        <w:trPr>
          <w:trHeight w:val="927"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7454DA7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投标总报价</w:t>
            </w:r>
          </w:p>
        </w:tc>
        <w:tc>
          <w:tcPr>
            <w:tcW w:w="7007" w:type="dxa"/>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14:paraId="206490DA">
            <w:pPr>
              <w:widowControl/>
              <w:spacing w:line="360" w:lineRule="auto"/>
              <w:jc w:val="left"/>
              <w:rPr>
                <w:rFonts w:hint="eastAsia"/>
                <w:color w:val="auto"/>
                <w:highlight w:val="none"/>
              </w:rPr>
            </w:pPr>
            <w:r>
              <w:rPr>
                <w:rFonts w:hint="eastAsia"/>
                <w:color w:val="auto"/>
                <w:highlight w:val="none"/>
              </w:rPr>
              <w:t>大写：</w:t>
            </w:r>
          </w:p>
          <w:p w14:paraId="5255831B">
            <w:pPr>
              <w:widowControl/>
              <w:spacing w:line="360" w:lineRule="auto"/>
              <w:jc w:val="left"/>
              <w:rPr>
                <w:rFonts w:hint="eastAsia"/>
                <w:color w:val="auto"/>
                <w:highlight w:val="none"/>
              </w:rPr>
            </w:pPr>
            <w:r>
              <w:rPr>
                <w:rFonts w:hint="eastAsia"/>
                <w:color w:val="auto"/>
                <w:highlight w:val="none"/>
              </w:rPr>
              <w:t>小写：</w:t>
            </w:r>
          </w:p>
        </w:tc>
      </w:tr>
      <w:tr w14:paraId="228C647C">
        <w:tblPrEx>
          <w:tblCellMar>
            <w:top w:w="0" w:type="dxa"/>
            <w:left w:w="0" w:type="dxa"/>
            <w:bottom w:w="0" w:type="dxa"/>
            <w:right w:w="0" w:type="dxa"/>
          </w:tblCellMar>
        </w:tblPrEx>
        <w:trPr>
          <w:trHeight w:val="927"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2EF4461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7007" w:type="dxa"/>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14:paraId="30603813">
            <w:pPr>
              <w:widowControl/>
              <w:spacing w:line="360" w:lineRule="auto"/>
              <w:jc w:val="center"/>
              <w:rPr>
                <w:rFonts w:hint="eastAsia" w:ascii="宋体" w:hAnsi="宋体" w:cs="宋体"/>
                <w:color w:val="auto"/>
                <w:sz w:val="24"/>
                <w:szCs w:val="24"/>
                <w:highlight w:val="none"/>
              </w:rPr>
            </w:pPr>
          </w:p>
        </w:tc>
      </w:tr>
      <w:tr w14:paraId="621EDEA9">
        <w:tblPrEx>
          <w:tblCellMar>
            <w:top w:w="0" w:type="dxa"/>
            <w:left w:w="0" w:type="dxa"/>
            <w:bottom w:w="0" w:type="dxa"/>
            <w:right w:w="0" w:type="dxa"/>
          </w:tblCellMar>
        </w:tblPrEx>
        <w:trPr>
          <w:trHeight w:val="927"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55E4E9C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服务标准</w:t>
            </w:r>
          </w:p>
        </w:tc>
        <w:tc>
          <w:tcPr>
            <w:tcW w:w="7007" w:type="dxa"/>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14:paraId="3187555C">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tc>
      </w:tr>
      <w:tr w14:paraId="61FC91FB">
        <w:tblPrEx>
          <w:tblCellMar>
            <w:top w:w="0" w:type="dxa"/>
            <w:left w:w="0" w:type="dxa"/>
            <w:bottom w:w="0" w:type="dxa"/>
            <w:right w:w="0" w:type="dxa"/>
          </w:tblCellMar>
        </w:tblPrEx>
        <w:trPr>
          <w:trHeight w:val="927"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4F6DC47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项目负责人姓名</w:t>
            </w:r>
          </w:p>
        </w:tc>
        <w:tc>
          <w:tcPr>
            <w:tcW w:w="7007" w:type="dxa"/>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14:paraId="580A8A18">
            <w:pPr>
              <w:rPr>
                <w:rFonts w:hint="eastAsia" w:ascii="宋体" w:hAnsi="宋体" w:cs="宋体"/>
                <w:color w:val="auto"/>
                <w:sz w:val="24"/>
                <w:szCs w:val="24"/>
                <w:highlight w:val="none"/>
              </w:rPr>
            </w:pPr>
          </w:p>
        </w:tc>
      </w:tr>
      <w:tr w14:paraId="4D7884E4">
        <w:tblPrEx>
          <w:tblCellMar>
            <w:top w:w="0" w:type="dxa"/>
            <w:left w:w="0" w:type="dxa"/>
            <w:bottom w:w="0" w:type="dxa"/>
            <w:right w:w="0" w:type="dxa"/>
          </w:tblCellMar>
        </w:tblPrEx>
        <w:trPr>
          <w:trHeight w:val="927"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1A7BF6A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7007" w:type="dxa"/>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14:paraId="47DEBDA1">
            <w:pPr>
              <w:jc w:val="center"/>
              <w:rPr>
                <w:rFonts w:hint="eastAsia" w:ascii="宋体" w:hAnsi="宋体" w:cs="宋体"/>
                <w:color w:val="auto"/>
                <w:sz w:val="24"/>
                <w:szCs w:val="24"/>
                <w:highlight w:val="none"/>
              </w:rPr>
            </w:pPr>
          </w:p>
        </w:tc>
      </w:tr>
      <w:tr w14:paraId="58194CF6">
        <w:tblPrEx>
          <w:tblCellMar>
            <w:top w:w="0" w:type="dxa"/>
            <w:left w:w="0" w:type="dxa"/>
            <w:bottom w:w="0" w:type="dxa"/>
            <w:right w:w="0" w:type="dxa"/>
          </w:tblCellMar>
        </w:tblPrEx>
        <w:trPr>
          <w:trHeight w:val="1084"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4E9E7CB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7007"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0A4FE534">
            <w:pPr>
              <w:jc w:val="left"/>
              <w:rPr>
                <w:rFonts w:hint="eastAsia" w:ascii="宋体" w:hAnsi="宋体" w:cs="宋体"/>
                <w:color w:val="auto"/>
                <w:sz w:val="24"/>
                <w:szCs w:val="24"/>
                <w:highlight w:val="none"/>
              </w:rPr>
            </w:pPr>
          </w:p>
        </w:tc>
      </w:tr>
    </w:tbl>
    <w:p w14:paraId="0CFABAE8">
      <w:pPr>
        <w:spacing w:line="360" w:lineRule="auto"/>
        <w:ind w:firstLine="3840" w:firstLineChars="16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投标人名称（电子签章）：</w:t>
      </w:r>
    </w:p>
    <w:p w14:paraId="7A382FAD">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法定代表人或授权代表（电子签章）：</w:t>
      </w:r>
    </w:p>
    <w:p w14:paraId="0BA4E85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26CA5107">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624D9092">
      <w:pPr>
        <w:rPr>
          <w:rFonts w:hint="eastAsia"/>
        </w:rPr>
      </w:pPr>
    </w:p>
    <w:tbl>
      <w:tblPr>
        <w:tblStyle w:val="22"/>
        <w:tblpPr w:leftFromText="180" w:rightFromText="180" w:vertAnchor="text" w:horzAnchor="page" w:tblpX="1487" w:tblpY="804"/>
        <w:tblOverlap w:val="never"/>
        <w:tblW w:w="481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1"/>
        <w:gridCol w:w="995"/>
        <w:gridCol w:w="2114"/>
        <w:gridCol w:w="2908"/>
        <w:gridCol w:w="2057"/>
      </w:tblGrid>
      <w:tr w14:paraId="26AA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48" w:type="pct"/>
            <w:tcBorders>
              <w:top w:val="single" w:color="000000" w:sz="8" w:space="0"/>
              <w:left w:val="single" w:color="000000" w:sz="8" w:space="0"/>
              <w:bottom w:val="single" w:color="000000" w:sz="8" w:space="0"/>
              <w:right w:val="single" w:color="000000" w:sz="8" w:space="0"/>
            </w:tcBorders>
            <w:noWrap w:val="0"/>
            <w:vAlign w:val="center"/>
          </w:tcPr>
          <w:p w14:paraId="427A029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524" w:type="pct"/>
            <w:tcBorders>
              <w:top w:val="single" w:color="000000" w:sz="8" w:space="0"/>
              <w:left w:val="single" w:color="000000" w:sz="8" w:space="0"/>
              <w:bottom w:val="single" w:color="000000" w:sz="8" w:space="0"/>
              <w:right w:val="single" w:color="000000" w:sz="8" w:space="0"/>
            </w:tcBorders>
            <w:noWrap w:val="0"/>
            <w:vAlign w:val="center"/>
          </w:tcPr>
          <w:p w14:paraId="4DA23A5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113" w:type="pct"/>
            <w:tcBorders>
              <w:top w:val="single" w:color="000000" w:sz="8" w:space="0"/>
              <w:left w:val="single" w:color="000000" w:sz="8" w:space="0"/>
              <w:bottom w:val="single" w:color="000000" w:sz="8" w:space="0"/>
              <w:right w:val="single" w:color="000000" w:sz="8" w:space="0"/>
            </w:tcBorders>
            <w:noWrap w:val="0"/>
            <w:vAlign w:val="center"/>
          </w:tcPr>
          <w:p w14:paraId="51BD2DF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服务项目</w:t>
            </w:r>
          </w:p>
        </w:tc>
        <w:tc>
          <w:tcPr>
            <w:tcW w:w="1530" w:type="pct"/>
            <w:tcBorders>
              <w:top w:val="single" w:color="000000" w:sz="8" w:space="0"/>
              <w:left w:val="single" w:color="000000" w:sz="8" w:space="0"/>
              <w:bottom w:val="single" w:color="000000" w:sz="8" w:space="0"/>
              <w:right w:val="single" w:color="000000" w:sz="8" w:space="0"/>
            </w:tcBorders>
            <w:noWrap w:val="0"/>
            <w:vAlign w:val="center"/>
          </w:tcPr>
          <w:p w14:paraId="0A261FF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费用类型</w:t>
            </w:r>
          </w:p>
        </w:tc>
        <w:tc>
          <w:tcPr>
            <w:tcW w:w="1083" w:type="pct"/>
            <w:tcBorders>
              <w:top w:val="single" w:color="000000" w:sz="8" w:space="0"/>
              <w:left w:val="single" w:color="000000" w:sz="8" w:space="0"/>
              <w:bottom w:val="single" w:color="000000" w:sz="8" w:space="0"/>
              <w:right w:val="single" w:color="000000" w:sz="8" w:space="0"/>
            </w:tcBorders>
            <w:noWrap w:val="0"/>
            <w:vAlign w:val="center"/>
          </w:tcPr>
          <w:p w14:paraId="6A71893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金额（万元）</w:t>
            </w:r>
          </w:p>
        </w:tc>
      </w:tr>
      <w:tr w14:paraId="7E5E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748" w:type="pct"/>
            <w:vMerge w:val="restart"/>
            <w:tcBorders>
              <w:top w:val="single" w:color="000000" w:sz="8" w:space="0"/>
              <w:left w:val="single" w:color="000000" w:sz="8" w:space="0"/>
              <w:bottom w:val="single" w:color="000000" w:sz="8" w:space="0"/>
              <w:right w:val="single" w:color="000000" w:sz="8" w:space="0"/>
            </w:tcBorders>
            <w:noWrap w:val="0"/>
            <w:vAlign w:val="center"/>
          </w:tcPr>
          <w:p w14:paraId="71E0A9C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硬件升级服务</w:t>
            </w:r>
          </w:p>
        </w:tc>
        <w:tc>
          <w:tcPr>
            <w:tcW w:w="524" w:type="pct"/>
            <w:tcBorders>
              <w:top w:val="single" w:color="000000" w:sz="8" w:space="0"/>
              <w:left w:val="single" w:color="000000" w:sz="8" w:space="0"/>
              <w:bottom w:val="single" w:color="000000" w:sz="8" w:space="0"/>
              <w:right w:val="single" w:color="000000" w:sz="8" w:space="0"/>
            </w:tcBorders>
            <w:noWrap w:val="0"/>
            <w:vAlign w:val="center"/>
          </w:tcPr>
          <w:p w14:paraId="77F978F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13" w:type="pct"/>
            <w:tcBorders>
              <w:top w:val="single" w:color="000000" w:sz="8" w:space="0"/>
              <w:left w:val="single" w:color="000000" w:sz="8" w:space="0"/>
              <w:bottom w:val="single" w:color="000000" w:sz="8" w:space="0"/>
              <w:right w:val="single" w:color="000000" w:sz="8" w:space="0"/>
            </w:tcBorders>
            <w:noWrap w:val="0"/>
            <w:vAlign w:val="center"/>
          </w:tcPr>
          <w:p w14:paraId="4BF0DDF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办公系统</w:t>
            </w:r>
          </w:p>
        </w:tc>
        <w:tc>
          <w:tcPr>
            <w:tcW w:w="1530" w:type="pct"/>
            <w:tcBorders>
              <w:top w:val="single" w:color="000000" w:sz="8" w:space="0"/>
              <w:left w:val="single" w:color="000000" w:sz="8" w:space="0"/>
              <w:bottom w:val="single" w:color="000000" w:sz="8" w:space="0"/>
              <w:right w:val="single" w:color="000000" w:sz="8" w:space="0"/>
            </w:tcBorders>
            <w:noWrap w:val="0"/>
            <w:vAlign w:val="center"/>
          </w:tcPr>
          <w:p w14:paraId="337AD7A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复印机升级</w:t>
            </w:r>
          </w:p>
        </w:tc>
        <w:tc>
          <w:tcPr>
            <w:tcW w:w="1083" w:type="pct"/>
            <w:tcBorders>
              <w:top w:val="single" w:color="000000" w:sz="8" w:space="0"/>
              <w:left w:val="single" w:color="000000" w:sz="8" w:space="0"/>
              <w:bottom w:val="single" w:color="000000" w:sz="8" w:space="0"/>
              <w:right w:val="single" w:color="000000" w:sz="8" w:space="0"/>
            </w:tcBorders>
            <w:noWrap w:val="0"/>
            <w:vAlign w:val="center"/>
          </w:tcPr>
          <w:p w14:paraId="7261442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p>
        </w:tc>
      </w:tr>
      <w:tr w14:paraId="4DB3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48" w:type="pct"/>
            <w:vMerge w:val="continue"/>
            <w:tcBorders>
              <w:top w:val="single" w:color="000000" w:sz="8" w:space="0"/>
              <w:left w:val="single" w:color="000000" w:sz="8" w:space="0"/>
              <w:bottom w:val="single" w:color="000000" w:sz="8" w:space="0"/>
              <w:right w:val="single" w:color="000000" w:sz="8" w:space="0"/>
            </w:tcBorders>
            <w:noWrap w:val="0"/>
            <w:vAlign w:val="center"/>
          </w:tcPr>
          <w:p w14:paraId="774CE18D">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4"/>
                <w:szCs w:val="24"/>
                <w:highlight w:val="none"/>
                <w:u w:val="none"/>
              </w:rPr>
            </w:pPr>
          </w:p>
        </w:tc>
        <w:tc>
          <w:tcPr>
            <w:tcW w:w="524" w:type="pct"/>
            <w:tcBorders>
              <w:top w:val="single" w:color="000000" w:sz="8" w:space="0"/>
              <w:left w:val="single" w:color="000000" w:sz="8" w:space="0"/>
              <w:bottom w:val="single" w:color="000000" w:sz="8" w:space="0"/>
              <w:right w:val="single" w:color="000000" w:sz="8" w:space="0"/>
            </w:tcBorders>
            <w:noWrap w:val="0"/>
            <w:vAlign w:val="center"/>
          </w:tcPr>
          <w:p w14:paraId="7A4BF6D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113" w:type="pct"/>
            <w:tcBorders>
              <w:top w:val="single" w:color="000000" w:sz="8" w:space="0"/>
              <w:left w:val="single" w:color="000000" w:sz="8" w:space="0"/>
              <w:bottom w:val="single" w:color="000000" w:sz="8" w:space="0"/>
              <w:right w:val="single" w:color="000000" w:sz="8" w:space="0"/>
            </w:tcBorders>
            <w:noWrap w:val="0"/>
            <w:vAlign w:val="center"/>
          </w:tcPr>
          <w:p w14:paraId="7D9003C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门禁与装修</w:t>
            </w:r>
          </w:p>
        </w:tc>
        <w:tc>
          <w:tcPr>
            <w:tcW w:w="1530" w:type="pct"/>
            <w:tcBorders>
              <w:top w:val="single" w:color="000000" w:sz="8" w:space="0"/>
              <w:left w:val="single" w:color="000000" w:sz="8" w:space="0"/>
              <w:bottom w:val="single" w:color="000000" w:sz="8" w:space="0"/>
              <w:right w:val="single" w:color="000000" w:sz="8" w:space="0"/>
            </w:tcBorders>
            <w:noWrap w:val="0"/>
            <w:vAlign w:val="center"/>
          </w:tcPr>
          <w:p w14:paraId="05215A2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升级</w:t>
            </w:r>
          </w:p>
        </w:tc>
        <w:tc>
          <w:tcPr>
            <w:tcW w:w="1083" w:type="pct"/>
            <w:tcBorders>
              <w:top w:val="single" w:color="000000" w:sz="8" w:space="0"/>
              <w:left w:val="single" w:color="000000" w:sz="8" w:space="0"/>
              <w:bottom w:val="single" w:color="000000" w:sz="8" w:space="0"/>
              <w:right w:val="single" w:color="000000" w:sz="8" w:space="0"/>
            </w:tcBorders>
            <w:noWrap w:val="0"/>
            <w:vAlign w:val="center"/>
          </w:tcPr>
          <w:p w14:paraId="306C2B9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p>
        </w:tc>
      </w:tr>
      <w:tr w14:paraId="16D7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48" w:type="pct"/>
            <w:vMerge w:val="continue"/>
            <w:tcBorders>
              <w:top w:val="single" w:color="000000" w:sz="8" w:space="0"/>
              <w:left w:val="single" w:color="000000" w:sz="8" w:space="0"/>
              <w:bottom w:val="single" w:color="000000" w:sz="8" w:space="0"/>
              <w:right w:val="single" w:color="000000" w:sz="8" w:space="0"/>
            </w:tcBorders>
            <w:noWrap w:val="0"/>
            <w:vAlign w:val="center"/>
          </w:tcPr>
          <w:p w14:paraId="7BA31B58">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4"/>
                <w:szCs w:val="24"/>
                <w:highlight w:val="none"/>
                <w:u w:val="none"/>
              </w:rPr>
            </w:pPr>
          </w:p>
        </w:tc>
        <w:tc>
          <w:tcPr>
            <w:tcW w:w="524" w:type="pct"/>
            <w:tcBorders>
              <w:top w:val="single" w:color="000000" w:sz="8" w:space="0"/>
              <w:left w:val="single" w:color="000000" w:sz="8" w:space="0"/>
              <w:bottom w:val="single" w:color="000000" w:sz="8" w:space="0"/>
              <w:right w:val="single" w:color="000000" w:sz="8" w:space="0"/>
            </w:tcBorders>
            <w:noWrap w:val="0"/>
            <w:vAlign w:val="center"/>
          </w:tcPr>
          <w:p w14:paraId="1857339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113" w:type="pct"/>
            <w:tcBorders>
              <w:top w:val="single" w:color="000000" w:sz="8" w:space="0"/>
              <w:left w:val="single" w:color="000000" w:sz="8" w:space="0"/>
              <w:bottom w:val="single" w:color="000000" w:sz="8" w:space="0"/>
              <w:right w:val="single" w:color="000000" w:sz="8" w:space="0"/>
            </w:tcBorders>
            <w:noWrap w:val="0"/>
            <w:vAlign w:val="center"/>
          </w:tcPr>
          <w:p w14:paraId="2C30DED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会议室多媒体</w:t>
            </w:r>
          </w:p>
        </w:tc>
        <w:tc>
          <w:tcPr>
            <w:tcW w:w="1530" w:type="pct"/>
            <w:tcBorders>
              <w:top w:val="single" w:color="000000" w:sz="8" w:space="0"/>
              <w:left w:val="single" w:color="000000" w:sz="8" w:space="0"/>
              <w:bottom w:val="single" w:color="000000" w:sz="8" w:space="0"/>
              <w:right w:val="single" w:color="000000" w:sz="8" w:space="0"/>
            </w:tcBorders>
            <w:noWrap w:val="0"/>
            <w:vAlign w:val="center"/>
          </w:tcPr>
          <w:p w14:paraId="779048E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升级</w:t>
            </w:r>
          </w:p>
        </w:tc>
        <w:tc>
          <w:tcPr>
            <w:tcW w:w="1083" w:type="pct"/>
            <w:tcBorders>
              <w:top w:val="single" w:color="000000" w:sz="8" w:space="0"/>
              <w:left w:val="single" w:color="000000" w:sz="8" w:space="0"/>
              <w:bottom w:val="single" w:color="000000" w:sz="8" w:space="0"/>
              <w:right w:val="single" w:color="000000" w:sz="8" w:space="0"/>
            </w:tcBorders>
            <w:noWrap w:val="0"/>
            <w:vAlign w:val="center"/>
          </w:tcPr>
          <w:p w14:paraId="796AA8B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p>
        </w:tc>
      </w:tr>
      <w:tr w14:paraId="0CB2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748" w:type="pct"/>
            <w:vMerge w:val="restart"/>
            <w:tcBorders>
              <w:top w:val="single" w:color="000000" w:sz="8" w:space="0"/>
              <w:left w:val="single" w:color="000000" w:sz="8" w:space="0"/>
              <w:bottom w:val="single" w:color="000000" w:sz="8" w:space="0"/>
              <w:right w:val="single" w:color="000000" w:sz="8" w:space="0"/>
            </w:tcBorders>
            <w:noWrap w:val="0"/>
            <w:vAlign w:val="center"/>
          </w:tcPr>
          <w:p w14:paraId="6612BF6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软件升级服务</w:t>
            </w:r>
          </w:p>
        </w:tc>
        <w:tc>
          <w:tcPr>
            <w:tcW w:w="524" w:type="pct"/>
            <w:tcBorders>
              <w:top w:val="single" w:color="000000" w:sz="8" w:space="0"/>
              <w:left w:val="single" w:color="000000" w:sz="8" w:space="0"/>
              <w:bottom w:val="single" w:color="000000" w:sz="8" w:space="0"/>
              <w:right w:val="single" w:color="000000" w:sz="8" w:space="0"/>
            </w:tcBorders>
            <w:noWrap w:val="0"/>
            <w:vAlign w:val="center"/>
          </w:tcPr>
          <w:p w14:paraId="3D59321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13" w:type="pct"/>
            <w:tcBorders>
              <w:top w:val="single" w:color="000000" w:sz="8" w:space="0"/>
              <w:left w:val="single" w:color="000000" w:sz="8" w:space="0"/>
              <w:bottom w:val="single" w:color="000000" w:sz="8" w:space="0"/>
              <w:right w:val="single" w:color="000000" w:sz="8" w:space="0"/>
            </w:tcBorders>
            <w:noWrap w:val="0"/>
            <w:vAlign w:val="center"/>
          </w:tcPr>
          <w:p w14:paraId="3926156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视频软件</w:t>
            </w:r>
          </w:p>
        </w:tc>
        <w:tc>
          <w:tcPr>
            <w:tcW w:w="1530" w:type="pct"/>
            <w:tcBorders>
              <w:top w:val="single" w:color="000000" w:sz="8" w:space="0"/>
              <w:left w:val="single" w:color="000000" w:sz="8" w:space="0"/>
              <w:bottom w:val="single" w:color="000000" w:sz="8" w:space="0"/>
              <w:right w:val="single" w:color="000000" w:sz="8" w:space="0"/>
            </w:tcBorders>
            <w:noWrap w:val="0"/>
            <w:vAlign w:val="center"/>
          </w:tcPr>
          <w:p w14:paraId="625855E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升级</w:t>
            </w:r>
          </w:p>
        </w:tc>
        <w:tc>
          <w:tcPr>
            <w:tcW w:w="1083" w:type="pct"/>
            <w:tcBorders>
              <w:top w:val="single" w:color="000000" w:sz="8" w:space="0"/>
              <w:left w:val="single" w:color="000000" w:sz="8" w:space="0"/>
              <w:bottom w:val="single" w:color="000000" w:sz="8" w:space="0"/>
              <w:right w:val="single" w:color="000000" w:sz="8" w:space="0"/>
            </w:tcBorders>
            <w:noWrap w:val="0"/>
            <w:vAlign w:val="center"/>
          </w:tcPr>
          <w:p w14:paraId="3CE5E41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p>
        </w:tc>
      </w:tr>
      <w:tr w14:paraId="1FA1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48" w:type="pct"/>
            <w:vMerge w:val="continue"/>
            <w:tcBorders>
              <w:top w:val="single" w:color="000000" w:sz="8" w:space="0"/>
              <w:left w:val="single" w:color="000000" w:sz="8" w:space="0"/>
              <w:bottom w:val="single" w:color="000000" w:sz="8" w:space="0"/>
              <w:right w:val="single" w:color="000000" w:sz="8" w:space="0"/>
            </w:tcBorders>
            <w:noWrap w:val="0"/>
            <w:vAlign w:val="center"/>
          </w:tcPr>
          <w:p w14:paraId="32138422">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4"/>
                <w:szCs w:val="24"/>
                <w:highlight w:val="none"/>
                <w:u w:val="none"/>
              </w:rPr>
            </w:pPr>
          </w:p>
        </w:tc>
        <w:tc>
          <w:tcPr>
            <w:tcW w:w="524" w:type="pct"/>
            <w:tcBorders>
              <w:top w:val="single" w:color="000000" w:sz="8" w:space="0"/>
              <w:left w:val="single" w:color="000000" w:sz="8" w:space="0"/>
              <w:bottom w:val="single" w:color="000000" w:sz="8" w:space="0"/>
              <w:right w:val="single" w:color="000000" w:sz="8" w:space="0"/>
            </w:tcBorders>
            <w:noWrap w:val="0"/>
            <w:vAlign w:val="center"/>
          </w:tcPr>
          <w:p w14:paraId="4E1AF30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113" w:type="pct"/>
            <w:tcBorders>
              <w:top w:val="single" w:color="000000" w:sz="8" w:space="0"/>
              <w:left w:val="single" w:color="000000" w:sz="8" w:space="0"/>
              <w:bottom w:val="single" w:color="000000" w:sz="8" w:space="0"/>
              <w:right w:val="single" w:color="000000" w:sz="8" w:space="0"/>
            </w:tcBorders>
            <w:noWrap w:val="0"/>
            <w:vAlign w:val="center"/>
          </w:tcPr>
          <w:p w14:paraId="6A83C0A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消防系统</w:t>
            </w:r>
          </w:p>
        </w:tc>
        <w:tc>
          <w:tcPr>
            <w:tcW w:w="1530" w:type="pct"/>
            <w:tcBorders>
              <w:top w:val="single" w:color="000000" w:sz="8" w:space="0"/>
              <w:left w:val="single" w:color="000000" w:sz="8" w:space="0"/>
              <w:bottom w:val="single" w:color="000000" w:sz="8" w:space="0"/>
              <w:right w:val="single" w:color="000000" w:sz="8" w:space="0"/>
            </w:tcBorders>
            <w:noWrap w:val="0"/>
            <w:vAlign w:val="center"/>
          </w:tcPr>
          <w:p w14:paraId="7E713DE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升级改造</w:t>
            </w:r>
          </w:p>
        </w:tc>
        <w:tc>
          <w:tcPr>
            <w:tcW w:w="1083" w:type="pct"/>
            <w:tcBorders>
              <w:top w:val="single" w:color="000000" w:sz="8" w:space="0"/>
              <w:left w:val="single" w:color="000000" w:sz="8" w:space="0"/>
              <w:bottom w:val="single" w:color="000000" w:sz="8" w:space="0"/>
              <w:right w:val="single" w:color="000000" w:sz="8" w:space="0"/>
            </w:tcBorders>
            <w:noWrap w:val="0"/>
            <w:vAlign w:val="center"/>
          </w:tcPr>
          <w:p w14:paraId="118D08F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p>
        </w:tc>
      </w:tr>
      <w:tr w14:paraId="289B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748" w:type="pct"/>
            <w:vMerge w:val="continue"/>
            <w:tcBorders>
              <w:top w:val="single" w:color="000000" w:sz="8" w:space="0"/>
              <w:left w:val="single" w:color="000000" w:sz="8" w:space="0"/>
              <w:bottom w:val="single" w:color="000000" w:sz="8" w:space="0"/>
              <w:right w:val="single" w:color="000000" w:sz="8" w:space="0"/>
            </w:tcBorders>
            <w:noWrap w:val="0"/>
            <w:vAlign w:val="center"/>
          </w:tcPr>
          <w:p w14:paraId="3E51B33E">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4"/>
                <w:szCs w:val="24"/>
                <w:highlight w:val="none"/>
                <w:u w:val="none"/>
              </w:rPr>
            </w:pPr>
          </w:p>
        </w:tc>
        <w:tc>
          <w:tcPr>
            <w:tcW w:w="524" w:type="pct"/>
            <w:tcBorders>
              <w:top w:val="single" w:color="000000" w:sz="8" w:space="0"/>
              <w:left w:val="single" w:color="000000" w:sz="8" w:space="0"/>
              <w:bottom w:val="single" w:color="000000" w:sz="8" w:space="0"/>
              <w:right w:val="single" w:color="000000" w:sz="8" w:space="0"/>
            </w:tcBorders>
            <w:noWrap w:val="0"/>
            <w:vAlign w:val="center"/>
          </w:tcPr>
          <w:p w14:paraId="349D256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113" w:type="pct"/>
            <w:tcBorders>
              <w:top w:val="single" w:color="000000" w:sz="8" w:space="0"/>
              <w:left w:val="single" w:color="000000" w:sz="8" w:space="0"/>
              <w:bottom w:val="single" w:color="000000" w:sz="8" w:space="0"/>
              <w:right w:val="single" w:color="000000" w:sz="8" w:space="0"/>
            </w:tcBorders>
            <w:noWrap w:val="0"/>
            <w:vAlign w:val="center"/>
          </w:tcPr>
          <w:p w14:paraId="5F70372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系统底层架构</w:t>
            </w:r>
          </w:p>
        </w:tc>
        <w:tc>
          <w:tcPr>
            <w:tcW w:w="1530" w:type="pct"/>
            <w:tcBorders>
              <w:top w:val="single" w:color="000000" w:sz="8" w:space="0"/>
              <w:left w:val="single" w:color="000000" w:sz="8" w:space="0"/>
              <w:bottom w:val="single" w:color="000000" w:sz="8" w:space="0"/>
              <w:right w:val="single" w:color="000000" w:sz="8" w:space="0"/>
            </w:tcBorders>
            <w:noWrap w:val="0"/>
            <w:vAlign w:val="center"/>
          </w:tcPr>
          <w:p w14:paraId="57B3E8D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数字城管系统升级</w:t>
            </w:r>
          </w:p>
        </w:tc>
        <w:tc>
          <w:tcPr>
            <w:tcW w:w="1083" w:type="pct"/>
            <w:tcBorders>
              <w:top w:val="single" w:color="000000" w:sz="8" w:space="0"/>
              <w:left w:val="single" w:color="000000" w:sz="8" w:space="0"/>
              <w:bottom w:val="single" w:color="000000" w:sz="8" w:space="0"/>
              <w:right w:val="single" w:color="000000" w:sz="8" w:space="0"/>
            </w:tcBorders>
            <w:noWrap w:val="0"/>
            <w:vAlign w:val="center"/>
          </w:tcPr>
          <w:p w14:paraId="0161F62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lang w:val="en-US"/>
              </w:rPr>
            </w:pPr>
          </w:p>
        </w:tc>
      </w:tr>
      <w:tr w14:paraId="6BEC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748" w:type="pct"/>
            <w:vMerge w:val="continue"/>
            <w:tcBorders>
              <w:top w:val="single" w:color="000000" w:sz="8" w:space="0"/>
              <w:left w:val="single" w:color="000000" w:sz="8" w:space="0"/>
              <w:bottom w:val="single" w:color="000000" w:sz="8" w:space="0"/>
              <w:right w:val="single" w:color="000000" w:sz="8" w:space="0"/>
            </w:tcBorders>
            <w:noWrap w:val="0"/>
            <w:vAlign w:val="center"/>
          </w:tcPr>
          <w:p w14:paraId="609F2A0B">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4"/>
                <w:szCs w:val="24"/>
                <w:highlight w:val="none"/>
                <w:u w:val="none"/>
              </w:rPr>
            </w:pPr>
          </w:p>
        </w:tc>
        <w:tc>
          <w:tcPr>
            <w:tcW w:w="524" w:type="pct"/>
            <w:tcBorders>
              <w:top w:val="single" w:color="000000" w:sz="8" w:space="0"/>
              <w:left w:val="single" w:color="000000" w:sz="8" w:space="0"/>
              <w:bottom w:val="single" w:color="000000" w:sz="8" w:space="0"/>
              <w:right w:val="single" w:color="000000" w:sz="8" w:space="0"/>
            </w:tcBorders>
            <w:noWrap w:val="0"/>
            <w:vAlign w:val="center"/>
          </w:tcPr>
          <w:p w14:paraId="536A6AC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113" w:type="pct"/>
            <w:tcBorders>
              <w:top w:val="single" w:color="000000" w:sz="8" w:space="0"/>
              <w:left w:val="single" w:color="000000" w:sz="8" w:space="0"/>
              <w:bottom w:val="single" w:color="000000" w:sz="8" w:space="0"/>
              <w:right w:val="single" w:color="000000" w:sz="8" w:space="0"/>
            </w:tcBorders>
            <w:noWrap w:val="0"/>
            <w:vAlign w:val="center"/>
          </w:tcPr>
          <w:p w14:paraId="7185B0D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无线数据采集系统</w:t>
            </w:r>
          </w:p>
        </w:tc>
        <w:tc>
          <w:tcPr>
            <w:tcW w:w="1530" w:type="pct"/>
            <w:tcBorders>
              <w:top w:val="single" w:color="000000" w:sz="8" w:space="0"/>
              <w:left w:val="single" w:color="000000" w:sz="8" w:space="0"/>
              <w:bottom w:val="single" w:color="000000" w:sz="8" w:space="0"/>
              <w:right w:val="single" w:color="000000" w:sz="8" w:space="0"/>
            </w:tcBorders>
            <w:noWrap w:val="0"/>
            <w:vAlign w:val="center"/>
          </w:tcPr>
          <w:p w14:paraId="5A710B5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数字城管系统升级</w:t>
            </w:r>
          </w:p>
        </w:tc>
        <w:tc>
          <w:tcPr>
            <w:tcW w:w="1083" w:type="pct"/>
            <w:tcBorders>
              <w:top w:val="single" w:color="000000" w:sz="8" w:space="0"/>
              <w:left w:val="single" w:color="000000" w:sz="8" w:space="0"/>
              <w:bottom w:val="single" w:color="000000" w:sz="8" w:space="0"/>
              <w:right w:val="single" w:color="000000" w:sz="8" w:space="0"/>
            </w:tcBorders>
            <w:noWrap w:val="0"/>
            <w:vAlign w:val="center"/>
          </w:tcPr>
          <w:p w14:paraId="3BF760F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p>
        </w:tc>
      </w:tr>
      <w:tr w14:paraId="7049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748" w:type="pct"/>
            <w:vMerge w:val="continue"/>
            <w:tcBorders>
              <w:top w:val="single" w:color="000000" w:sz="8" w:space="0"/>
              <w:left w:val="single" w:color="000000" w:sz="8" w:space="0"/>
              <w:bottom w:val="single" w:color="000000" w:sz="8" w:space="0"/>
              <w:right w:val="single" w:color="000000" w:sz="8" w:space="0"/>
            </w:tcBorders>
            <w:noWrap w:val="0"/>
            <w:vAlign w:val="center"/>
          </w:tcPr>
          <w:p w14:paraId="1D0E6FD8">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4"/>
                <w:szCs w:val="24"/>
                <w:highlight w:val="none"/>
                <w:u w:val="none"/>
              </w:rPr>
            </w:pPr>
          </w:p>
        </w:tc>
        <w:tc>
          <w:tcPr>
            <w:tcW w:w="524" w:type="pct"/>
            <w:tcBorders>
              <w:top w:val="single" w:color="000000" w:sz="8" w:space="0"/>
              <w:left w:val="single" w:color="000000" w:sz="8" w:space="0"/>
              <w:bottom w:val="single" w:color="000000" w:sz="8" w:space="0"/>
              <w:right w:val="single" w:color="000000" w:sz="8" w:space="0"/>
            </w:tcBorders>
            <w:noWrap w:val="0"/>
            <w:vAlign w:val="center"/>
          </w:tcPr>
          <w:p w14:paraId="0F50368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113" w:type="pct"/>
            <w:tcBorders>
              <w:top w:val="single" w:color="000000" w:sz="8" w:space="0"/>
              <w:left w:val="single" w:color="000000" w:sz="8" w:space="0"/>
              <w:bottom w:val="single" w:color="000000" w:sz="8" w:space="0"/>
              <w:right w:val="single" w:color="000000" w:sz="8" w:space="0"/>
            </w:tcBorders>
            <w:noWrap w:val="0"/>
            <w:vAlign w:val="center"/>
          </w:tcPr>
          <w:p w14:paraId="615072E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地理编码子系统</w:t>
            </w:r>
          </w:p>
        </w:tc>
        <w:tc>
          <w:tcPr>
            <w:tcW w:w="1530" w:type="pct"/>
            <w:tcBorders>
              <w:top w:val="single" w:color="000000" w:sz="8" w:space="0"/>
              <w:left w:val="single" w:color="000000" w:sz="8" w:space="0"/>
              <w:bottom w:val="single" w:color="000000" w:sz="8" w:space="0"/>
              <w:right w:val="single" w:color="000000" w:sz="8" w:space="0"/>
            </w:tcBorders>
            <w:noWrap w:val="0"/>
            <w:vAlign w:val="center"/>
          </w:tcPr>
          <w:p w14:paraId="6E64AF2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数字城管系统升级</w:t>
            </w:r>
          </w:p>
        </w:tc>
        <w:tc>
          <w:tcPr>
            <w:tcW w:w="1083" w:type="pct"/>
            <w:tcBorders>
              <w:top w:val="single" w:color="000000" w:sz="8" w:space="0"/>
              <w:left w:val="single" w:color="000000" w:sz="8" w:space="0"/>
              <w:bottom w:val="single" w:color="000000" w:sz="8" w:space="0"/>
              <w:right w:val="single" w:color="000000" w:sz="8" w:space="0"/>
            </w:tcBorders>
            <w:noWrap w:val="0"/>
            <w:vAlign w:val="center"/>
          </w:tcPr>
          <w:p w14:paraId="3B8480C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p>
        </w:tc>
      </w:tr>
      <w:tr w14:paraId="51CE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748" w:type="pct"/>
            <w:vMerge w:val="continue"/>
            <w:tcBorders>
              <w:top w:val="single" w:color="000000" w:sz="8" w:space="0"/>
              <w:left w:val="single" w:color="000000" w:sz="8" w:space="0"/>
              <w:bottom w:val="single" w:color="000000" w:sz="8" w:space="0"/>
              <w:right w:val="single" w:color="000000" w:sz="8" w:space="0"/>
            </w:tcBorders>
            <w:noWrap w:val="0"/>
            <w:vAlign w:val="center"/>
          </w:tcPr>
          <w:p w14:paraId="732327E9">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4"/>
                <w:szCs w:val="24"/>
                <w:highlight w:val="none"/>
                <w:u w:val="none"/>
              </w:rPr>
            </w:pPr>
          </w:p>
        </w:tc>
        <w:tc>
          <w:tcPr>
            <w:tcW w:w="524" w:type="pct"/>
            <w:tcBorders>
              <w:top w:val="single" w:color="000000" w:sz="8" w:space="0"/>
              <w:left w:val="single" w:color="000000" w:sz="8" w:space="0"/>
              <w:bottom w:val="single" w:color="000000" w:sz="8" w:space="0"/>
              <w:right w:val="single" w:color="000000" w:sz="8" w:space="0"/>
            </w:tcBorders>
            <w:noWrap w:val="0"/>
            <w:vAlign w:val="center"/>
          </w:tcPr>
          <w:p w14:paraId="3583D16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113" w:type="pct"/>
            <w:tcBorders>
              <w:top w:val="single" w:color="000000" w:sz="8" w:space="0"/>
              <w:left w:val="single" w:color="000000" w:sz="8" w:space="0"/>
              <w:bottom w:val="single" w:color="000000" w:sz="8" w:space="0"/>
              <w:right w:val="single" w:color="000000" w:sz="8" w:space="0"/>
            </w:tcBorders>
            <w:noWrap w:val="0"/>
            <w:vAlign w:val="center"/>
          </w:tcPr>
          <w:p w14:paraId="1224129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应用维护子系统</w:t>
            </w:r>
          </w:p>
        </w:tc>
        <w:tc>
          <w:tcPr>
            <w:tcW w:w="1530" w:type="pct"/>
            <w:tcBorders>
              <w:top w:val="single" w:color="000000" w:sz="8" w:space="0"/>
              <w:left w:val="single" w:color="000000" w:sz="8" w:space="0"/>
              <w:bottom w:val="single" w:color="000000" w:sz="8" w:space="0"/>
              <w:right w:val="single" w:color="000000" w:sz="8" w:space="0"/>
            </w:tcBorders>
            <w:noWrap w:val="0"/>
            <w:vAlign w:val="center"/>
          </w:tcPr>
          <w:p w14:paraId="1F254BF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数字城管系统升级</w:t>
            </w:r>
          </w:p>
        </w:tc>
        <w:tc>
          <w:tcPr>
            <w:tcW w:w="1083" w:type="pct"/>
            <w:tcBorders>
              <w:top w:val="single" w:color="000000" w:sz="8" w:space="0"/>
              <w:left w:val="single" w:color="000000" w:sz="8" w:space="0"/>
              <w:bottom w:val="single" w:color="000000" w:sz="8" w:space="0"/>
              <w:right w:val="single" w:color="000000" w:sz="8" w:space="0"/>
            </w:tcBorders>
            <w:noWrap/>
            <w:vAlign w:val="center"/>
          </w:tcPr>
          <w:p w14:paraId="07804C8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p>
        </w:tc>
      </w:tr>
      <w:tr w14:paraId="05EB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748" w:type="pct"/>
            <w:tcBorders>
              <w:top w:val="single" w:color="000000" w:sz="8" w:space="0"/>
              <w:left w:val="single" w:color="000000" w:sz="8" w:space="0"/>
              <w:bottom w:val="single" w:color="000000" w:sz="8" w:space="0"/>
              <w:right w:val="single" w:color="000000" w:sz="8" w:space="0"/>
            </w:tcBorders>
            <w:noWrap w:val="0"/>
            <w:vAlign w:val="center"/>
          </w:tcPr>
          <w:p w14:paraId="214A7DC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数据普查服务</w:t>
            </w:r>
          </w:p>
        </w:tc>
        <w:tc>
          <w:tcPr>
            <w:tcW w:w="524" w:type="pct"/>
            <w:tcBorders>
              <w:top w:val="single" w:color="000000" w:sz="8" w:space="0"/>
              <w:left w:val="single" w:color="000000" w:sz="8" w:space="0"/>
              <w:bottom w:val="single" w:color="000000" w:sz="8" w:space="0"/>
              <w:right w:val="single" w:color="000000" w:sz="8" w:space="0"/>
            </w:tcBorders>
            <w:noWrap w:val="0"/>
            <w:vAlign w:val="center"/>
          </w:tcPr>
          <w:p w14:paraId="6104E28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13" w:type="pct"/>
            <w:tcBorders>
              <w:top w:val="single" w:color="000000" w:sz="8" w:space="0"/>
              <w:left w:val="single" w:color="000000" w:sz="8" w:space="0"/>
              <w:bottom w:val="single" w:color="000000" w:sz="8" w:space="0"/>
              <w:right w:val="single" w:color="000000" w:sz="8" w:space="0"/>
            </w:tcBorders>
            <w:noWrap w:val="0"/>
            <w:vAlign w:val="center"/>
          </w:tcPr>
          <w:p w14:paraId="249E106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县城新增区域</w:t>
            </w:r>
          </w:p>
        </w:tc>
        <w:tc>
          <w:tcPr>
            <w:tcW w:w="1530" w:type="pct"/>
            <w:tcBorders>
              <w:top w:val="single" w:color="000000" w:sz="8" w:space="0"/>
              <w:left w:val="single" w:color="000000" w:sz="8" w:space="0"/>
              <w:bottom w:val="single" w:color="000000" w:sz="8" w:space="0"/>
              <w:right w:val="single" w:color="000000" w:sz="8" w:space="0"/>
            </w:tcBorders>
            <w:noWrap w:val="0"/>
            <w:vAlign w:val="center"/>
          </w:tcPr>
          <w:p w14:paraId="3EF0E21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城南新区10平方公里+产业聚集区6.7</w:t>
            </w:r>
          </w:p>
        </w:tc>
        <w:tc>
          <w:tcPr>
            <w:tcW w:w="1083" w:type="pct"/>
            <w:tcBorders>
              <w:top w:val="single" w:color="000000" w:sz="8" w:space="0"/>
              <w:left w:val="single" w:color="000000" w:sz="8" w:space="0"/>
              <w:bottom w:val="single" w:color="000000" w:sz="8" w:space="0"/>
              <w:right w:val="single" w:color="000000" w:sz="8" w:space="0"/>
            </w:tcBorders>
            <w:noWrap/>
            <w:vAlign w:val="center"/>
          </w:tcPr>
          <w:p w14:paraId="3C94AE9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p>
        </w:tc>
      </w:tr>
      <w:tr w14:paraId="6158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748" w:type="pct"/>
            <w:tcBorders>
              <w:top w:val="single" w:color="000000" w:sz="8" w:space="0"/>
              <w:left w:val="single" w:color="000000" w:sz="8" w:space="0"/>
              <w:bottom w:val="nil"/>
              <w:right w:val="single" w:color="000000" w:sz="8" w:space="0"/>
            </w:tcBorders>
            <w:noWrap w:val="0"/>
            <w:vAlign w:val="center"/>
          </w:tcPr>
          <w:p w14:paraId="6E26285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电子政务外网系统升级</w:t>
            </w:r>
          </w:p>
        </w:tc>
        <w:tc>
          <w:tcPr>
            <w:tcW w:w="524" w:type="pct"/>
            <w:tcBorders>
              <w:top w:val="single" w:color="000000" w:sz="8" w:space="0"/>
              <w:left w:val="single" w:color="000000" w:sz="8" w:space="0"/>
              <w:bottom w:val="single" w:color="000000" w:sz="8" w:space="0"/>
              <w:right w:val="single" w:color="000000" w:sz="8" w:space="0"/>
            </w:tcBorders>
            <w:noWrap w:val="0"/>
            <w:vAlign w:val="center"/>
          </w:tcPr>
          <w:p w14:paraId="0D065A9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13" w:type="pct"/>
            <w:tcBorders>
              <w:top w:val="single" w:color="000000" w:sz="8" w:space="0"/>
              <w:left w:val="single" w:color="000000" w:sz="8" w:space="0"/>
              <w:bottom w:val="single" w:color="000000" w:sz="8" w:space="0"/>
              <w:right w:val="single" w:color="000000" w:sz="8" w:space="0"/>
            </w:tcBorders>
            <w:noWrap w:val="0"/>
            <w:vAlign w:val="center"/>
          </w:tcPr>
          <w:p w14:paraId="2D5D090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电子政务外网</w:t>
            </w:r>
          </w:p>
        </w:tc>
        <w:tc>
          <w:tcPr>
            <w:tcW w:w="1530" w:type="pct"/>
            <w:tcBorders>
              <w:top w:val="single" w:color="000000" w:sz="8" w:space="0"/>
              <w:left w:val="single" w:color="000000" w:sz="8" w:space="0"/>
              <w:bottom w:val="single" w:color="000000" w:sz="8" w:space="0"/>
              <w:right w:val="single" w:color="000000" w:sz="8" w:space="0"/>
            </w:tcBorders>
            <w:noWrap w:val="0"/>
            <w:vAlign w:val="center"/>
          </w:tcPr>
          <w:p w14:paraId="0E36605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新建电子政务外网建设连接市城管中心</w:t>
            </w:r>
          </w:p>
        </w:tc>
        <w:tc>
          <w:tcPr>
            <w:tcW w:w="1083" w:type="pct"/>
            <w:tcBorders>
              <w:top w:val="single" w:color="000000" w:sz="8" w:space="0"/>
              <w:left w:val="single" w:color="000000" w:sz="8" w:space="0"/>
              <w:bottom w:val="single" w:color="000000" w:sz="8" w:space="0"/>
              <w:right w:val="single" w:color="000000" w:sz="8" w:space="0"/>
            </w:tcBorders>
            <w:noWrap/>
            <w:vAlign w:val="center"/>
          </w:tcPr>
          <w:p w14:paraId="220E773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p>
        </w:tc>
      </w:tr>
      <w:tr w14:paraId="00AF1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748" w:type="pct"/>
            <w:tcBorders>
              <w:top w:val="single" w:color="000000" w:sz="8" w:space="0"/>
              <w:left w:val="single" w:color="000000" w:sz="8" w:space="0"/>
              <w:bottom w:val="single" w:color="000000" w:sz="8" w:space="0"/>
              <w:right w:val="single" w:color="000000" w:sz="8" w:space="0"/>
            </w:tcBorders>
            <w:noWrap w:val="0"/>
            <w:vAlign w:val="center"/>
          </w:tcPr>
          <w:p w14:paraId="66D2EA4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文明城市评测监控服务</w:t>
            </w:r>
          </w:p>
        </w:tc>
        <w:tc>
          <w:tcPr>
            <w:tcW w:w="524" w:type="pct"/>
            <w:tcBorders>
              <w:top w:val="single" w:color="000000" w:sz="8" w:space="0"/>
              <w:left w:val="single" w:color="000000" w:sz="8" w:space="0"/>
              <w:bottom w:val="single" w:color="000000" w:sz="8" w:space="0"/>
              <w:right w:val="single" w:color="000000" w:sz="8" w:space="0"/>
            </w:tcBorders>
            <w:noWrap w:val="0"/>
            <w:vAlign w:val="center"/>
          </w:tcPr>
          <w:p w14:paraId="14431BC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13" w:type="pct"/>
            <w:tcBorders>
              <w:top w:val="single" w:color="000000" w:sz="8" w:space="0"/>
              <w:left w:val="single" w:color="000000" w:sz="8" w:space="0"/>
              <w:bottom w:val="single" w:color="000000" w:sz="8" w:space="0"/>
              <w:right w:val="single" w:color="000000" w:sz="8" w:space="0"/>
            </w:tcBorders>
            <w:noWrap w:val="0"/>
            <w:vAlign w:val="center"/>
          </w:tcPr>
          <w:p w14:paraId="5CBD80A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县建成区</w:t>
            </w:r>
          </w:p>
        </w:tc>
        <w:tc>
          <w:tcPr>
            <w:tcW w:w="1530" w:type="pct"/>
            <w:tcBorders>
              <w:top w:val="single" w:color="000000" w:sz="8" w:space="0"/>
              <w:left w:val="single" w:color="000000" w:sz="8" w:space="0"/>
              <w:bottom w:val="single" w:color="000000" w:sz="8" w:space="0"/>
              <w:right w:val="single" w:color="000000" w:sz="8" w:space="0"/>
            </w:tcBorders>
            <w:noWrap w:val="0"/>
            <w:vAlign w:val="center"/>
          </w:tcPr>
          <w:p w14:paraId="65BEC50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42个文明城市评测监控点位</w:t>
            </w:r>
          </w:p>
        </w:tc>
        <w:tc>
          <w:tcPr>
            <w:tcW w:w="1083" w:type="pct"/>
            <w:tcBorders>
              <w:top w:val="single" w:color="000000" w:sz="8" w:space="0"/>
              <w:left w:val="single" w:color="000000" w:sz="8" w:space="0"/>
              <w:bottom w:val="single" w:color="000000" w:sz="8" w:space="0"/>
              <w:right w:val="single" w:color="000000" w:sz="8" w:space="0"/>
            </w:tcBorders>
            <w:noWrap/>
            <w:vAlign w:val="center"/>
          </w:tcPr>
          <w:p w14:paraId="30D8293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p>
        </w:tc>
      </w:tr>
      <w:tr w14:paraId="01F3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16" w:type="pct"/>
            <w:gridSpan w:val="4"/>
            <w:tcBorders>
              <w:top w:val="single" w:color="000000" w:sz="8" w:space="0"/>
              <w:left w:val="single" w:color="000000" w:sz="8" w:space="0"/>
              <w:bottom w:val="single" w:color="000000" w:sz="8" w:space="0"/>
              <w:right w:val="single" w:color="000000" w:sz="8" w:space="0"/>
            </w:tcBorders>
            <w:noWrap w:val="0"/>
            <w:vAlign w:val="center"/>
          </w:tcPr>
          <w:p w14:paraId="6F0BFBF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小计：</w:t>
            </w:r>
          </w:p>
        </w:tc>
        <w:tc>
          <w:tcPr>
            <w:tcW w:w="1083" w:type="pct"/>
            <w:tcBorders>
              <w:top w:val="single" w:color="000000" w:sz="8" w:space="0"/>
              <w:left w:val="single" w:color="000000" w:sz="8" w:space="0"/>
              <w:bottom w:val="single" w:color="000000" w:sz="8" w:space="0"/>
              <w:right w:val="single" w:color="000000" w:sz="8" w:space="0"/>
            </w:tcBorders>
            <w:noWrap/>
            <w:vAlign w:val="center"/>
          </w:tcPr>
          <w:p w14:paraId="0C405C4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highlight w:val="none"/>
                <w:u w:val="none"/>
              </w:rPr>
            </w:pPr>
          </w:p>
        </w:tc>
      </w:tr>
    </w:tbl>
    <w:p w14:paraId="26C29EB4">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采购内容</w:t>
      </w:r>
    </w:p>
    <w:p w14:paraId="6ACCC796">
      <w:pPr>
        <w:pageBreakBefore w:val="0"/>
        <w:kinsoku/>
        <w:wordWrap/>
        <w:overflowPunct/>
        <w:topLinePunct w:val="0"/>
        <w:autoSpaceDE/>
        <w:autoSpaceDN/>
        <w:bidi w:val="0"/>
        <w:spacing w:line="360" w:lineRule="auto"/>
        <w:ind w:firstLine="280" w:firstLineChars="100"/>
        <w:jc w:val="left"/>
        <w:rPr>
          <w:rFonts w:hint="default" w:ascii="宋体" w:hAnsi="宋体" w:eastAsia="宋体" w:cs="宋体"/>
          <w:bCs/>
          <w:sz w:val="28"/>
          <w:szCs w:val="28"/>
          <w:highlight w:val="none"/>
          <w:lang w:val="en-US"/>
        </w:rPr>
      </w:pPr>
      <w:r>
        <w:rPr>
          <w:rFonts w:hint="eastAsia" w:ascii="宋体" w:hAnsi="宋体" w:eastAsia="宋体" w:cs="宋体"/>
          <w:sz w:val="28"/>
          <w:szCs w:val="28"/>
          <w:highlight w:val="none"/>
          <w:lang w:val="en-US" w:eastAsia="zh-CN"/>
        </w:rPr>
        <w:t>在填写报价时应充分考虑招标要求及报价全过程中所发生的费用。</w:t>
      </w:r>
    </w:p>
    <w:p w14:paraId="662B9628">
      <w:pPr>
        <w:pStyle w:val="4"/>
        <w:numPr>
          <w:ilvl w:val="0"/>
          <w:numId w:val="0"/>
        </w:numPr>
        <w:spacing w:line="360" w:lineRule="auto"/>
        <w:ind w:left="540"/>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24"/>
          <w:szCs w:val="24"/>
          <w:highlight w:val="none"/>
        </w:rPr>
        <w:br w:type="page"/>
      </w:r>
      <w:bookmarkEnd w:id="572"/>
      <w:bookmarkEnd w:id="573"/>
      <w:bookmarkEnd w:id="574"/>
      <w:bookmarkStart w:id="575" w:name="_Toc26166"/>
      <w:bookmarkStart w:id="576" w:name="_Toc25591"/>
      <w:r>
        <w:rPr>
          <w:rFonts w:hint="eastAsia" w:ascii="宋体" w:hAnsi="宋体" w:eastAsia="宋体" w:cs="宋体"/>
          <w:b/>
          <w:bCs/>
          <w:color w:val="auto"/>
          <w:sz w:val="40"/>
          <w:szCs w:val="40"/>
          <w:highlight w:val="none"/>
          <w:lang w:eastAsia="zh-CN"/>
        </w:rPr>
        <w:t>三、法定代表人授权书</w:t>
      </w:r>
      <w:bookmarkEnd w:id="575"/>
      <w:bookmarkEnd w:id="576"/>
    </w:p>
    <w:p w14:paraId="407F4165">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14:paraId="5CCE3969">
      <w:pPr>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本授权委托书声明：我</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（姓名）系</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（投标人名称）的法定代表人,现授权委托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（签名、电话）为我公司合法代理人，以本公司的名义参加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及标段</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的投标活动。代理人在开标、评标、合同谈判过程中所签署的一切文件和处理与之有关的一切事务，我均予以承认。</w:t>
      </w:r>
    </w:p>
    <w:p w14:paraId="7FE275F3">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委托期限：</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14:paraId="1D7F07E5">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代理人无转委托权，特此证明。</w:t>
      </w:r>
    </w:p>
    <w:p w14:paraId="47A256CD">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附：法定代表人及授权委托人身份证复印件</w:t>
      </w:r>
    </w:p>
    <w:p w14:paraId="7AF022DE">
      <w:pPr>
        <w:autoSpaceDE w:val="0"/>
        <w:autoSpaceDN w:val="0"/>
        <w:adjustRightInd w:val="0"/>
        <w:spacing w:line="360" w:lineRule="auto"/>
        <w:ind w:firstLine="6000" w:firstLineChars="2500"/>
        <w:jc w:val="left"/>
        <w:rPr>
          <w:rFonts w:hint="eastAsia" w:ascii="宋体" w:hAnsi="宋体" w:cs="宋体"/>
          <w:color w:val="auto"/>
          <w:kern w:val="0"/>
          <w:sz w:val="24"/>
          <w:szCs w:val="24"/>
          <w:highlight w:val="none"/>
        </w:rPr>
      </w:pPr>
    </w:p>
    <w:p w14:paraId="717A88BE">
      <w:pPr>
        <w:spacing w:line="360" w:lineRule="auto"/>
        <w:ind w:firstLine="3360" w:firstLineChars="1400"/>
        <w:rPr>
          <w:rFonts w:hint="eastAsia"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（电子签章）</w:t>
      </w:r>
    </w:p>
    <w:p w14:paraId="5C1A867C">
      <w:pPr>
        <w:spacing w:line="360" w:lineRule="auto"/>
        <w:ind w:firstLine="3360" w:firstLineChars="14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（电子签章）</w:t>
      </w:r>
    </w:p>
    <w:p w14:paraId="6360B615">
      <w:pPr>
        <w:spacing w:line="360" w:lineRule="auto"/>
        <w:ind w:firstLine="3360" w:firstLineChars="1400"/>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14:paraId="1C91479F">
      <w:pPr>
        <w:spacing w:line="360" w:lineRule="auto"/>
        <w:ind w:firstLine="3360" w:firstLineChars="1400"/>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（电子签章）</w:t>
      </w:r>
    </w:p>
    <w:p w14:paraId="395FEADC">
      <w:pPr>
        <w:spacing w:line="360" w:lineRule="auto"/>
        <w:ind w:firstLine="3360" w:firstLineChars="1400"/>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14:paraId="1045D6EA">
      <w:pPr>
        <w:spacing w:line="360" w:lineRule="auto"/>
        <w:ind w:firstLine="2640" w:firstLineChars="1100"/>
        <w:jc w:val="righ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6999838">
      <w:pPr>
        <w:spacing w:line="360" w:lineRule="auto"/>
        <w:ind w:firstLine="2640" w:firstLineChars="1100"/>
        <w:jc w:val="right"/>
        <w:rPr>
          <w:rFonts w:hint="eastAsia" w:ascii="宋体" w:hAnsi="宋体" w:cs="宋体"/>
          <w:color w:val="auto"/>
          <w:sz w:val="24"/>
          <w:szCs w:val="24"/>
          <w:highlight w:val="none"/>
        </w:rPr>
      </w:pPr>
    </w:p>
    <w:p w14:paraId="4ACBFFB3">
      <w:pPr>
        <w:rPr>
          <w:rFonts w:hint="eastAsia" w:ascii="宋体" w:hAnsi="宋体" w:eastAsia="宋体" w:cs="宋体"/>
          <w:b/>
          <w:bCs/>
          <w:color w:val="auto"/>
          <w:sz w:val="40"/>
          <w:szCs w:val="40"/>
          <w:highlight w:val="none"/>
        </w:rPr>
      </w:pPr>
      <w:bookmarkStart w:id="577" w:name="_Toc24942"/>
      <w:bookmarkStart w:id="578" w:name="_Toc5796"/>
      <w:r>
        <w:rPr>
          <w:rFonts w:hint="eastAsia" w:ascii="宋体" w:hAnsi="宋体" w:eastAsia="宋体" w:cs="宋体"/>
          <w:b/>
          <w:bCs/>
          <w:color w:val="auto"/>
          <w:sz w:val="40"/>
          <w:szCs w:val="40"/>
          <w:highlight w:val="none"/>
        </w:rPr>
        <w:br w:type="page"/>
      </w:r>
    </w:p>
    <w:p w14:paraId="6B8A875A">
      <w:pPr>
        <w:pStyle w:val="4"/>
        <w:numPr>
          <w:numId w:val="0"/>
        </w:numPr>
        <w:bidi w:val="0"/>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四、法定代表人身份证明</w:t>
      </w:r>
      <w:bookmarkEnd w:id="577"/>
      <w:bookmarkEnd w:id="578"/>
    </w:p>
    <w:p w14:paraId="7D89EFD9">
      <w:pPr>
        <w:pStyle w:val="33"/>
        <w:spacing w:line="360" w:lineRule="auto"/>
        <w:rPr>
          <w:rFonts w:hint="eastAsia" w:ascii="宋体" w:hAnsi="宋体" w:eastAsia="宋体" w:cs="宋体"/>
          <w:color w:val="auto"/>
          <w:sz w:val="22"/>
          <w:szCs w:val="22"/>
          <w:highlight w:val="none"/>
        </w:rPr>
      </w:pPr>
    </w:p>
    <w:p w14:paraId="5EFD274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17636C4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单位性质：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2ACA932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 xml:space="preserve">                                   </w:t>
      </w:r>
    </w:p>
    <w:p w14:paraId="4BF843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成立时间：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78D8629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经营期限：</w:t>
      </w:r>
      <w:r>
        <w:rPr>
          <w:rFonts w:hint="eastAsia" w:ascii="宋体" w:hAnsi="宋体" w:cs="宋体"/>
          <w:color w:val="auto"/>
          <w:sz w:val="24"/>
          <w:szCs w:val="24"/>
          <w:highlight w:val="none"/>
          <w:u w:val="single"/>
        </w:rPr>
        <w:t xml:space="preserve">                               </w:t>
      </w:r>
    </w:p>
    <w:p w14:paraId="3054B8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签名：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p>
    <w:p w14:paraId="37C42A2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（投标人名称）的法定代表人。</w:t>
      </w:r>
    </w:p>
    <w:p w14:paraId="722E616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14:paraId="5F3B2F9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附：法定代表人身份证复印件正反面</w:t>
      </w:r>
    </w:p>
    <w:p w14:paraId="0BA3E55D">
      <w:pPr>
        <w:spacing w:line="360" w:lineRule="auto"/>
        <w:rPr>
          <w:rFonts w:hint="eastAsia" w:ascii="宋体" w:hAnsi="宋体" w:cs="宋体"/>
          <w:color w:val="auto"/>
          <w:sz w:val="24"/>
          <w:szCs w:val="24"/>
          <w:highlight w:val="none"/>
        </w:rPr>
      </w:pPr>
    </w:p>
    <w:p w14:paraId="4D81B778">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（电子签章）</w:t>
      </w:r>
    </w:p>
    <w:p w14:paraId="785EE9AB">
      <w:pPr>
        <w:wordWrap w:val="0"/>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       </w:t>
      </w:r>
    </w:p>
    <w:p w14:paraId="68390503">
      <w:pPr>
        <w:spacing w:line="360" w:lineRule="auto"/>
        <w:rPr>
          <w:rFonts w:hint="eastAsia" w:ascii="宋体" w:hAnsi="宋体" w:cs="宋体"/>
          <w:color w:val="auto"/>
          <w:sz w:val="24"/>
          <w:szCs w:val="24"/>
          <w:highlight w:val="none"/>
        </w:rPr>
      </w:pPr>
    </w:p>
    <w:p w14:paraId="62C5B0D5">
      <w:pPr>
        <w:pStyle w:val="33"/>
        <w:spacing w:line="360" w:lineRule="auto"/>
        <w:rPr>
          <w:rFonts w:hint="eastAsia" w:ascii="宋体" w:hAnsi="宋体" w:eastAsia="宋体" w:cs="宋体"/>
          <w:color w:val="auto"/>
          <w:sz w:val="22"/>
          <w:szCs w:val="22"/>
          <w:highlight w:val="none"/>
        </w:rPr>
      </w:pPr>
    </w:p>
    <w:p w14:paraId="2AB722E5">
      <w:pPr>
        <w:pStyle w:val="33"/>
        <w:spacing w:line="360" w:lineRule="auto"/>
        <w:ind w:firstLine="0"/>
        <w:rPr>
          <w:rFonts w:hint="eastAsia" w:ascii="宋体" w:hAnsi="宋体" w:eastAsia="宋体" w:cs="宋体"/>
          <w:color w:val="auto"/>
          <w:sz w:val="22"/>
          <w:szCs w:val="22"/>
          <w:highlight w:val="none"/>
        </w:rPr>
      </w:pPr>
    </w:p>
    <w:p w14:paraId="10311DDA">
      <w:pPr>
        <w:pStyle w:val="33"/>
        <w:spacing w:line="360" w:lineRule="auto"/>
        <w:ind w:firstLine="0"/>
        <w:rPr>
          <w:rFonts w:hint="eastAsia" w:ascii="宋体" w:hAnsi="宋体" w:eastAsia="宋体" w:cs="宋体"/>
          <w:color w:val="auto"/>
          <w:sz w:val="22"/>
          <w:szCs w:val="22"/>
          <w:highlight w:val="none"/>
        </w:rPr>
      </w:pPr>
    </w:p>
    <w:p w14:paraId="306E2B22">
      <w:pPr>
        <w:pStyle w:val="33"/>
        <w:spacing w:line="360" w:lineRule="auto"/>
        <w:ind w:firstLine="0"/>
        <w:rPr>
          <w:rFonts w:hint="eastAsia" w:ascii="宋体" w:hAnsi="宋体" w:eastAsia="宋体" w:cs="宋体"/>
          <w:color w:val="auto"/>
          <w:sz w:val="22"/>
          <w:szCs w:val="22"/>
          <w:highlight w:val="none"/>
        </w:rPr>
      </w:pPr>
    </w:p>
    <w:p w14:paraId="12950CF8">
      <w:pPr>
        <w:pStyle w:val="33"/>
        <w:spacing w:line="360" w:lineRule="auto"/>
        <w:ind w:firstLine="0"/>
        <w:rPr>
          <w:rFonts w:hint="eastAsia" w:ascii="宋体" w:hAnsi="宋体" w:eastAsia="宋体" w:cs="宋体"/>
          <w:color w:val="auto"/>
          <w:sz w:val="22"/>
          <w:szCs w:val="22"/>
          <w:highlight w:val="none"/>
        </w:rPr>
      </w:pPr>
    </w:p>
    <w:p w14:paraId="2D2E59EA">
      <w:pPr>
        <w:pStyle w:val="33"/>
        <w:spacing w:line="360" w:lineRule="auto"/>
        <w:ind w:firstLine="0"/>
        <w:rPr>
          <w:rFonts w:hint="eastAsia" w:ascii="宋体" w:hAnsi="宋体" w:eastAsia="宋体" w:cs="宋体"/>
          <w:color w:val="auto"/>
          <w:sz w:val="22"/>
          <w:szCs w:val="22"/>
          <w:highlight w:val="none"/>
        </w:rPr>
      </w:pPr>
    </w:p>
    <w:p w14:paraId="14AE2396">
      <w:pPr>
        <w:pStyle w:val="33"/>
        <w:spacing w:line="360" w:lineRule="auto"/>
        <w:ind w:firstLine="0"/>
        <w:rPr>
          <w:rFonts w:hint="eastAsia" w:ascii="宋体" w:hAnsi="宋体" w:eastAsia="宋体" w:cs="宋体"/>
          <w:color w:val="auto"/>
          <w:sz w:val="22"/>
          <w:szCs w:val="22"/>
          <w:highlight w:val="none"/>
        </w:rPr>
      </w:pPr>
    </w:p>
    <w:p w14:paraId="29B5553A">
      <w:pPr>
        <w:pStyle w:val="33"/>
        <w:spacing w:line="360" w:lineRule="auto"/>
        <w:ind w:firstLine="0"/>
        <w:rPr>
          <w:rFonts w:hint="eastAsia" w:ascii="宋体" w:hAnsi="宋体" w:eastAsia="宋体" w:cs="宋体"/>
          <w:color w:val="auto"/>
          <w:sz w:val="22"/>
          <w:szCs w:val="22"/>
          <w:highlight w:val="none"/>
        </w:rPr>
      </w:pPr>
    </w:p>
    <w:p w14:paraId="28CAACD7">
      <w:pPr>
        <w:pStyle w:val="33"/>
        <w:spacing w:line="360" w:lineRule="auto"/>
        <w:ind w:firstLine="0"/>
        <w:rPr>
          <w:rFonts w:hint="eastAsia" w:ascii="宋体" w:hAnsi="宋体" w:eastAsia="宋体" w:cs="宋体"/>
          <w:color w:val="auto"/>
          <w:sz w:val="22"/>
          <w:szCs w:val="22"/>
          <w:highlight w:val="none"/>
        </w:rPr>
      </w:pPr>
    </w:p>
    <w:p w14:paraId="5427F15A">
      <w:pPr>
        <w:pStyle w:val="33"/>
        <w:spacing w:line="360" w:lineRule="auto"/>
        <w:ind w:firstLine="0"/>
        <w:rPr>
          <w:rFonts w:hint="eastAsia" w:ascii="宋体" w:hAnsi="宋体" w:eastAsia="宋体" w:cs="宋体"/>
          <w:color w:val="auto"/>
          <w:sz w:val="22"/>
          <w:szCs w:val="22"/>
          <w:highlight w:val="none"/>
        </w:rPr>
      </w:pPr>
    </w:p>
    <w:p w14:paraId="3151E4C9">
      <w:pPr>
        <w:pStyle w:val="33"/>
        <w:spacing w:line="360" w:lineRule="auto"/>
        <w:ind w:firstLine="0"/>
        <w:rPr>
          <w:rFonts w:hint="eastAsia" w:ascii="宋体" w:hAnsi="宋体" w:eastAsia="宋体" w:cs="宋体"/>
          <w:color w:val="auto"/>
          <w:sz w:val="22"/>
          <w:szCs w:val="22"/>
          <w:highlight w:val="none"/>
        </w:rPr>
      </w:pPr>
    </w:p>
    <w:p w14:paraId="38801016">
      <w:pPr>
        <w:pStyle w:val="33"/>
        <w:spacing w:line="360" w:lineRule="auto"/>
        <w:ind w:firstLine="0"/>
        <w:rPr>
          <w:rFonts w:hint="eastAsia" w:ascii="宋体" w:hAnsi="宋体" w:eastAsia="宋体" w:cs="宋体"/>
          <w:color w:val="auto"/>
          <w:sz w:val="22"/>
          <w:szCs w:val="22"/>
          <w:highlight w:val="none"/>
        </w:rPr>
      </w:pPr>
    </w:p>
    <w:p w14:paraId="517EFD2C">
      <w:pPr>
        <w:pStyle w:val="33"/>
        <w:spacing w:line="360" w:lineRule="auto"/>
        <w:ind w:firstLine="0"/>
        <w:rPr>
          <w:rFonts w:hint="eastAsia" w:ascii="宋体" w:hAnsi="宋体" w:eastAsia="宋体" w:cs="宋体"/>
          <w:color w:val="auto"/>
          <w:sz w:val="22"/>
          <w:szCs w:val="22"/>
          <w:highlight w:val="none"/>
        </w:rPr>
      </w:pPr>
    </w:p>
    <w:p w14:paraId="6F3473FB">
      <w:pPr>
        <w:pStyle w:val="33"/>
        <w:spacing w:line="360" w:lineRule="auto"/>
        <w:ind w:firstLine="0"/>
        <w:rPr>
          <w:rFonts w:hint="eastAsia" w:ascii="宋体" w:hAnsi="宋体" w:eastAsia="宋体" w:cs="宋体"/>
          <w:color w:val="auto"/>
          <w:sz w:val="22"/>
          <w:szCs w:val="22"/>
          <w:highlight w:val="none"/>
        </w:rPr>
      </w:pPr>
    </w:p>
    <w:p w14:paraId="20AF899A">
      <w:pPr>
        <w:pStyle w:val="4"/>
        <w:numPr>
          <w:ilvl w:val="0"/>
          <w:numId w:val="0"/>
        </w:numPr>
        <w:spacing w:line="360" w:lineRule="auto"/>
        <w:ind w:left="540"/>
        <w:jc w:val="center"/>
        <w:rPr>
          <w:rFonts w:hint="eastAsia" w:ascii="宋体" w:hAnsi="宋体" w:eastAsia="宋体" w:cs="宋体"/>
          <w:b/>
          <w:bCs/>
          <w:color w:val="auto"/>
          <w:sz w:val="40"/>
          <w:szCs w:val="40"/>
          <w:highlight w:val="none"/>
        </w:rPr>
      </w:pPr>
      <w:bookmarkStart w:id="579" w:name="_Toc10566"/>
      <w:bookmarkStart w:id="580" w:name="_Toc9473"/>
      <w:r>
        <w:rPr>
          <w:rFonts w:hint="eastAsia" w:ascii="宋体" w:hAnsi="宋体" w:eastAsia="宋体" w:cs="宋体"/>
          <w:b/>
          <w:bCs/>
          <w:color w:val="auto"/>
          <w:sz w:val="40"/>
          <w:szCs w:val="40"/>
          <w:highlight w:val="none"/>
          <w:lang w:eastAsia="zh-CN"/>
        </w:rPr>
        <w:t>五、</w:t>
      </w:r>
      <w:r>
        <w:rPr>
          <w:rFonts w:hint="eastAsia" w:ascii="宋体" w:hAnsi="宋体" w:eastAsia="宋体" w:cs="宋体"/>
          <w:b/>
          <w:bCs/>
          <w:color w:val="auto"/>
          <w:sz w:val="40"/>
          <w:szCs w:val="40"/>
          <w:highlight w:val="none"/>
        </w:rPr>
        <w:t>投标</w:t>
      </w:r>
      <w:r>
        <w:rPr>
          <w:rFonts w:hint="eastAsia" w:ascii="宋体" w:hAnsi="宋体" w:eastAsia="宋体" w:cs="宋体"/>
          <w:b/>
          <w:bCs/>
          <w:color w:val="auto"/>
          <w:sz w:val="40"/>
          <w:szCs w:val="40"/>
          <w:highlight w:val="none"/>
          <w:lang w:eastAsia="zh-CN"/>
        </w:rPr>
        <w:t>人</w:t>
      </w:r>
      <w:r>
        <w:rPr>
          <w:rFonts w:hint="eastAsia" w:ascii="宋体" w:hAnsi="宋体" w:eastAsia="宋体" w:cs="宋体"/>
          <w:b/>
          <w:bCs/>
          <w:color w:val="auto"/>
          <w:sz w:val="40"/>
          <w:szCs w:val="40"/>
          <w:highlight w:val="none"/>
        </w:rPr>
        <w:t>承诺</w:t>
      </w:r>
      <w:bookmarkEnd w:id="579"/>
      <w:bookmarkEnd w:id="580"/>
    </w:p>
    <w:p w14:paraId="5132C7C5">
      <w:pPr>
        <w:widowControl/>
        <w:spacing w:line="360" w:lineRule="auto"/>
        <w:ind w:firstLine="480" w:firstLineChars="200"/>
        <w:jc w:val="left"/>
        <w:rPr>
          <w:rFonts w:hint="eastAsia" w:ascii="宋体" w:hAnsi="宋体" w:cs="宋体"/>
          <w:color w:val="auto"/>
          <w:sz w:val="24"/>
          <w:szCs w:val="24"/>
          <w:highlight w:val="none"/>
        </w:rPr>
      </w:pPr>
      <w:bookmarkStart w:id="581" w:name="_Hlk60751458"/>
      <w:r>
        <w:rPr>
          <w:rFonts w:hint="eastAsia" w:ascii="宋体" w:hAnsi="宋体" w:cs="宋体"/>
          <w:color w:val="auto"/>
          <w:sz w:val="24"/>
          <w:szCs w:val="24"/>
          <w:highlight w:val="none"/>
        </w:rPr>
        <w:t>投标人描述招标文件要求的各项承诺及投标人认为有必要承诺的其他服务承诺，包括但不限于以下承诺：（承诺书格式自定）</w:t>
      </w:r>
    </w:p>
    <w:p w14:paraId="51D17C8A">
      <w:pPr>
        <w:widowControl/>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（1）投标文件不含有采购人不能接受的附加条件；</w:t>
      </w:r>
    </w:p>
    <w:p w14:paraId="41A74615">
      <w:pPr>
        <w:widowControl/>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（2）遵循公平竞争的原则，没有弄虚作假、恶意串通或妨碍其他投标人的竞争行为，损害采购人或者其他投标人的合法权益；</w:t>
      </w:r>
    </w:p>
    <w:p w14:paraId="26C22C00">
      <w:pPr>
        <w:widowControl/>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（3）招标代理服务费承诺。</w:t>
      </w:r>
    </w:p>
    <w:bookmarkEnd w:id="581"/>
    <w:p w14:paraId="635D99BC">
      <w:pPr>
        <w:pStyle w:val="8"/>
        <w:spacing w:line="360" w:lineRule="auto"/>
        <w:rPr>
          <w:rFonts w:hint="eastAsia" w:ascii="宋体" w:hAnsi="宋体" w:cs="宋体"/>
          <w:color w:val="auto"/>
          <w:highlight w:val="none"/>
        </w:rPr>
      </w:pPr>
    </w:p>
    <w:p w14:paraId="572BD0C7">
      <w:pPr>
        <w:spacing w:line="360" w:lineRule="auto"/>
        <w:rPr>
          <w:rFonts w:hint="eastAsia" w:ascii="宋体" w:hAnsi="宋体" w:cs="宋体"/>
          <w:color w:val="auto"/>
          <w:sz w:val="22"/>
          <w:szCs w:val="22"/>
          <w:highlight w:val="none"/>
        </w:rPr>
      </w:pPr>
    </w:p>
    <w:p w14:paraId="3C0B1679">
      <w:pPr>
        <w:pStyle w:val="33"/>
        <w:spacing w:line="360" w:lineRule="auto"/>
        <w:ind w:firstLine="0"/>
        <w:rPr>
          <w:rFonts w:hint="eastAsia" w:ascii="宋体" w:hAnsi="宋体" w:eastAsia="宋体" w:cs="宋体"/>
          <w:color w:val="auto"/>
          <w:sz w:val="22"/>
          <w:szCs w:val="22"/>
          <w:highlight w:val="none"/>
        </w:rPr>
      </w:pPr>
      <w:r>
        <w:rPr>
          <w:rFonts w:hint="eastAsia" w:ascii="宋体" w:hAnsi="宋体" w:eastAsia="宋体" w:cs="宋体"/>
          <w:color w:val="auto"/>
          <w:sz w:val="32"/>
          <w:szCs w:val="32"/>
          <w:highlight w:val="none"/>
        </w:rPr>
        <w:br w:type="page"/>
      </w:r>
    </w:p>
    <w:p w14:paraId="6E71090C">
      <w:pPr>
        <w:pStyle w:val="4"/>
        <w:numPr>
          <w:numId w:val="0"/>
        </w:numPr>
        <w:bidi w:val="0"/>
        <w:jc w:val="center"/>
        <w:rPr>
          <w:rStyle w:val="34"/>
          <w:rFonts w:hint="eastAsia" w:ascii="宋体" w:hAnsi="宋体" w:cs="宋体"/>
          <w:color w:val="auto"/>
          <w:sz w:val="40"/>
          <w:szCs w:val="48"/>
          <w:highlight w:val="none"/>
        </w:rPr>
      </w:pPr>
      <w:bookmarkStart w:id="582" w:name="_Toc18383"/>
      <w:bookmarkStart w:id="583" w:name="_Toc18325"/>
      <w:r>
        <w:rPr>
          <w:rFonts w:hint="eastAsia" w:ascii="宋体" w:hAnsi="宋体" w:cs="宋体"/>
          <w:b/>
          <w:bCs/>
          <w:color w:val="auto"/>
          <w:sz w:val="40"/>
          <w:szCs w:val="40"/>
          <w:highlight w:val="none"/>
        </w:rPr>
        <w:t>六、</w:t>
      </w:r>
      <w:bookmarkEnd w:id="582"/>
      <w:bookmarkEnd w:id="583"/>
      <w:bookmarkStart w:id="584" w:name="_Toc25174"/>
      <w:bookmarkStart w:id="585" w:name="_Toc29796"/>
      <w:bookmarkStart w:id="586" w:name="_Toc19779"/>
      <w:bookmarkStart w:id="587" w:name="_Toc6032"/>
      <w:r>
        <w:rPr>
          <w:rStyle w:val="34"/>
          <w:rFonts w:hint="eastAsia" w:ascii="宋体" w:hAnsi="宋体" w:cs="宋体"/>
          <w:color w:val="auto"/>
          <w:sz w:val="40"/>
          <w:szCs w:val="48"/>
          <w:highlight w:val="none"/>
        </w:rPr>
        <w:t>项目人员配备情况表</w:t>
      </w:r>
    </w:p>
    <w:p w14:paraId="4C8F54BC">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及标段</w:t>
      </w:r>
      <w:r>
        <w:rPr>
          <w:rFonts w:hint="eastAsia" w:ascii="宋体" w:hAnsi="宋体" w:cs="宋体"/>
          <w:color w:val="auto"/>
          <w:sz w:val="22"/>
          <w:szCs w:val="22"/>
          <w:highlight w:val="none"/>
        </w:rPr>
        <w:t>：___________</w:t>
      </w:r>
    </w:p>
    <w:p w14:paraId="1D1B84C1">
      <w:pPr>
        <w:bidi w:val="0"/>
        <w:rPr>
          <w:rFonts w:hint="eastAsia"/>
        </w:rPr>
      </w:pPr>
      <w:r>
        <w:rPr>
          <w:rFonts w:hint="eastAsia"/>
        </w:rPr>
        <w:t xml:space="preserve">项目编号：___________ </w:t>
      </w:r>
    </w:p>
    <w:tbl>
      <w:tblPr>
        <w:tblStyle w:val="22"/>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809"/>
        <w:gridCol w:w="1744"/>
        <w:gridCol w:w="1697"/>
        <w:gridCol w:w="2074"/>
        <w:gridCol w:w="1347"/>
      </w:tblGrid>
      <w:tr w14:paraId="0592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5C909528">
            <w:pPr>
              <w:spacing w:line="5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809" w:type="dxa"/>
            <w:tcBorders>
              <w:top w:val="single" w:color="auto" w:sz="4" w:space="0"/>
              <w:left w:val="nil"/>
              <w:bottom w:val="single" w:color="auto" w:sz="4" w:space="0"/>
              <w:right w:val="single" w:color="auto" w:sz="4" w:space="0"/>
            </w:tcBorders>
            <w:noWrap w:val="0"/>
            <w:vAlign w:val="center"/>
          </w:tcPr>
          <w:p w14:paraId="0BBAABBC">
            <w:pPr>
              <w:spacing w:line="5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744" w:type="dxa"/>
            <w:tcBorders>
              <w:top w:val="single" w:color="auto" w:sz="4" w:space="0"/>
              <w:left w:val="nil"/>
              <w:bottom w:val="single" w:color="auto" w:sz="4" w:space="0"/>
              <w:right w:val="single" w:color="auto" w:sz="4" w:space="0"/>
            </w:tcBorders>
            <w:noWrap w:val="0"/>
            <w:vAlign w:val="center"/>
          </w:tcPr>
          <w:p w14:paraId="595BCA25">
            <w:pPr>
              <w:spacing w:line="5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年龄</w:t>
            </w:r>
          </w:p>
        </w:tc>
        <w:tc>
          <w:tcPr>
            <w:tcW w:w="1697" w:type="dxa"/>
            <w:tcBorders>
              <w:top w:val="single" w:color="auto" w:sz="4" w:space="0"/>
              <w:left w:val="nil"/>
              <w:bottom w:val="single" w:color="auto" w:sz="4" w:space="0"/>
              <w:right w:val="single" w:color="auto" w:sz="4" w:space="0"/>
            </w:tcBorders>
            <w:noWrap w:val="0"/>
            <w:vAlign w:val="center"/>
          </w:tcPr>
          <w:p w14:paraId="34D23C07">
            <w:pPr>
              <w:snapToGrid w:val="0"/>
              <w:spacing w:line="5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从业时间</w:t>
            </w:r>
          </w:p>
        </w:tc>
        <w:tc>
          <w:tcPr>
            <w:tcW w:w="2074" w:type="dxa"/>
            <w:tcBorders>
              <w:top w:val="single" w:color="auto" w:sz="4" w:space="0"/>
              <w:left w:val="nil"/>
              <w:bottom w:val="single" w:color="auto" w:sz="4" w:space="0"/>
              <w:right w:val="single" w:color="auto" w:sz="4" w:space="0"/>
            </w:tcBorders>
            <w:noWrap w:val="0"/>
            <w:vAlign w:val="center"/>
          </w:tcPr>
          <w:p w14:paraId="7808748C">
            <w:pPr>
              <w:snapToGrid w:val="0"/>
              <w:spacing w:line="5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计划安排岗位</w:t>
            </w:r>
          </w:p>
        </w:tc>
        <w:tc>
          <w:tcPr>
            <w:tcW w:w="1347" w:type="dxa"/>
            <w:tcBorders>
              <w:top w:val="single" w:color="auto" w:sz="4" w:space="0"/>
              <w:left w:val="nil"/>
              <w:bottom w:val="single" w:color="auto" w:sz="4" w:space="0"/>
              <w:right w:val="single" w:color="auto" w:sz="4" w:space="0"/>
            </w:tcBorders>
            <w:noWrap w:val="0"/>
            <w:vAlign w:val="center"/>
          </w:tcPr>
          <w:p w14:paraId="6C5623E5">
            <w:pPr>
              <w:spacing w:line="5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59D8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5D94C2CE">
            <w:pPr>
              <w:spacing w:line="500" w:lineRule="exact"/>
              <w:jc w:val="center"/>
              <w:textAlignment w:val="baseline"/>
              <w:rPr>
                <w:rFonts w:hint="eastAsia" w:ascii="宋体" w:hAnsi="宋体" w:cs="宋体"/>
                <w:color w:val="auto"/>
                <w:sz w:val="24"/>
                <w:szCs w:val="24"/>
                <w:highlight w:val="none"/>
              </w:rPr>
            </w:pPr>
          </w:p>
        </w:tc>
        <w:tc>
          <w:tcPr>
            <w:tcW w:w="1809" w:type="dxa"/>
            <w:tcBorders>
              <w:top w:val="single" w:color="auto" w:sz="4" w:space="0"/>
              <w:left w:val="nil"/>
              <w:bottom w:val="single" w:color="auto" w:sz="4" w:space="0"/>
              <w:right w:val="single" w:color="auto" w:sz="4" w:space="0"/>
            </w:tcBorders>
            <w:noWrap w:val="0"/>
            <w:vAlign w:val="center"/>
          </w:tcPr>
          <w:p w14:paraId="060E615E">
            <w:pPr>
              <w:spacing w:line="500" w:lineRule="exact"/>
              <w:jc w:val="center"/>
              <w:textAlignment w:val="baseline"/>
              <w:rPr>
                <w:rFonts w:hint="eastAsia" w:ascii="宋体" w:hAnsi="宋体" w:cs="宋体"/>
                <w:color w:val="auto"/>
                <w:sz w:val="24"/>
                <w:szCs w:val="24"/>
                <w:highlight w:val="none"/>
              </w:rPr>
            </w:pPr>
          </w:p>
        </w:tc>
        <w:tc>
          <w:tcPr>
            <w:tcW w:w="1744" w:type="dxa"/>
            <w:tcBorders>
              <w:top w:val="single" w:color="auto" w:sz="4" w:space="0"/>
              <w:left w:val="nil"/>
              <w:bottom w:val="single" w:color="auto" w:sz="4" w:space="0"/>
              <w:right w:val="single" w:color="auto" w:sz="4" w:space="0"/>
            </w:tcBorders>
            <w:noWrap w:val="0"/>
            <w:vAlign w:val="center"/>
          </w:tcPr>
          <w:p w14:paraId="187E368D">
            <w:pPr>
              <w:spacing w:line="500" w:lineRule="exact"/>
              <w:jc w:val="center"/>
              <w:textAlignment w:val="baseline"/>
              <w:rPr>
                <w:rFonts w:hint="eastAsia" w:ascii="宋体" w:hAnsi="宋体" w:cs="宋体"/>
                <w:color w:val="auto"/>
                <w:sz w:val="24"/>
                <w:szCs w:val="24"/>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1C71CFB1">
            <w:pPr>
              <w:spacing w:line="500" w:lineRule="exact"/>
              <w:jc w:val="center"/>
              <w:textAlignment w:val="baseline"/>
              <w:rPr>
                <w:rFonts w:hint="eastAsia" w:ascii="宋体" w:hAnsi="宋体" w:cs="宋体"/>
                <w:color w:val="auto"/>
                <w:sz w:val="24"/>
                <w:szCs w:val="24"/>
                <w:highlight w:val="none"/>
              </w:rPr>
            </w:pPr>
          </w:p>
        </w:tc>
        <w:tc>
          <w:tcPr>
            <w:tcW w:w="2074" w:type="dxa"/>
            <w:tcBorders>
              <w:top w:val="single" w:color="auto" w:sz="4" w:space="0"/>
              <w:left w:val="nil"/>
              <w:bottom w:val="single" w:color="auto" w:sz="4" w:space="0"/>
              <w:right w:val="single" w:color="auto" w:sz="4" w:space="0"/>
            </w:tcBorders>
            <w:noWrap w:val="0"/>
            <w:vAlign w:val="center"/>
          </w:tcPr>
          <w:p w14:paraId="442B065B">
            <w:pPr>
              <w:spacing w:line="500" w:lineRule="exact"/>
              <w:jc w:val="center"/>
              <w:textAlignment w:val="baseline"/>
              <w:rPr>
                <w:rFonts w:hint="eastAsia" w:ascii="宋体" w:hAnsi="宋体" w:cs="宋体"/>
                <w:color w:val="auto"/>
                <w:sz w:val="24"/>
                <w:szCs w:val="24"/>
                <w:highlight w:val="none"/>
              </w:rPr>
            </w:pPr>
          </w:p>
        </w:tc>
        <w:tc>
          <w:tcPr>
            <w:tcW w:w="1347" w:type="dxa"/>
            <w:tcBorders>
              <w:top w:val="single" w:color="auto" w:sz="4" w:space="0"/>
              <w:left w:val="nil"/>
              <w:bottom w:val="single" w:color="auto" w:sz="4" w:space="0"/>
              <w:right w:val="single" w:color="auto" w:sz="4" w:space="0"/>
            </w:tcBorders>
            <w:noWrap w:val="0"/>
            <w:vAlign w:val="center"/>
          </w:tcPr>
          <w:p w14:paraId="4C3E34F4">
            <w:pPr>
              <w:spacing w:line="500" w:lineRule="exact"/>
              <w:jc w:val="center"/>
              <w:textAlignment w:val="baseline"/>
              <w:rPr>
                <w:rFonts w:hint="eastAsia" w:ascii="宋体" w:hAnsi="宋体" w:cs="宋体"/>
                <w:color w:val="auto"/>
                <w:sz w:val="24"/>
                <w:szCs w:val="24"/>
                <w:highlight w:val="none"/>
              </w:rPr>
            </w:pPr>
          </w:p>
        </w:tc>
      </w:tr>
      <w:tr w14:paraId="5657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26B63F3C">
            <w:pPr>
              <w:spacing w:line="500" w:lineRule="exact"/>
              <w:jc w:val="center"/>
              <w:textAlignment w:val="baseline"/>
              <w:rPr>
                <w:rFonts w:hint="eastAsia" w:ascii="宋体" w:hAnsi="宋体" w:cs="宋体"/>
                <w:color w:val="auto"/>
                <w:sz w:val="24"/>
                <w:szCs w:val="24"/>
                <w:highlight w:val="none"/>
              </w:rPr>
            </w:pPr>
          </w:p>
        </w:tc>
        <w:tc>
          <w:tcPr>
            <w:tcW w:w="1809" w:type="dxa"/>
            <w:tcBorders>
              <w:top w:val="single" w:color="auto" w:sz="4" w:space="0"/>
              <w:left w:val="nil"/>
              <w:bottom w:val="single" w:color="auto" w:sz="4" w:space="0"/>
              <w:right w:val="single" w:color="auto" w:sz="4" w:space="0"/>
            </w:tcBorders>
            <w:noWrap w:val="0"/>
            <w:vAlign w:val="center"/>
          </w:tcPr>
          <w:p w14:paraId="54AC7DDA">
            <w:pPr>
              <w:spacing w:line="500" w:lineRule="exact"/>
              <w:jc w:val="center"/>
              <w:textAlignment w:val="baseline"/>
              <w:rPr>
                <w:rFonts w:hint="eastAsia" w:ascii="宋体" w:hAnsi="宋体" w:cs="宋体"/>
                <w:color w:val="auto"/>
                <w:sz w:val="24"/>
                <w:szCs w:val="24"/>
                <w:highlight w:val="none"/>
              </w:rPr>
            </w:pPr>
          </w:p>
        </w:tc>
        <w:tc>
          <w:tcPr>
            <w:tcW w:w="1744" w:type="dxa"/>
            <w:tcBorders>
              <w:top w:val="single" w:color="auto" w:sz="4" w:space="0"/>
              <w:left w:val="nil"/>
              <w:bottom w:val="single" w:color="auto" w:sz="4" w:space="0"/>
              <w:right w:val="single" w:color="auto" w:sz="4" w:space="0"/>
            </w:tcBorders>
            <w:noWrap w:val="0"/>
            <w:vAlign w:val="center"/>
          </w:tcPr>
          <w:p w14:paraId="0A02FD00">
            <w:pPr>
              <w:spacing w:line="500" w:lineRule="exact"/>
              <w:jc w:val="center"/>
              <w:textAlignment w:val="baseline"/>
              <w:rPr>
                <w:rFonts w:hint="eastAsia" w:ascii="宋体" w:hAnsi="宋体" w:cs="宋体"/>
                <w:color w:val="auto"/>
                <w:sz w:val="24"/>
                <w:szCs w:val="24"/>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33C40210">
            <w:pPr>
              <w:spacing w:line="500" w:lineRule="exact"/>
              <w:jc w:val="center"/>
              <w:textAlignment w:val="baseline"/>
              <w:rPr>
                <w:rFonts w:hint="eastAsia" w:ascii="宋体" w:hAnsi="宋体" w:cs="宋体"/>
                <w:color w:val="auto"/>
                <w:sz w:val="24"/>
                <w:szCs w:val="24"/>
                <w:highlight w:val="none"/>
              </w:rPr>
            </w:pPr>
          </w:p>
        </w:tc>
        <w:tc>
          <w:tcPr>
            <w:tcW w:w="2074" w:type="dxa"/>
            <w:tcBorders>
              <w:top w:val="single" w:color="auto" w:sz="4" w:space="0"/>
              <w:left w:val="nil"/>
              <w:bottom w:val="single" w:color="auto" w:sz="4" w:space="0"/>
              <w:right w:val="single" w:color="auto" w:sz="4" w:space="0"/>
            </w:tcBorders>
            <w:noWrap w:val="0"/>
            <w:vAlign w:val="center"/>
          </w:tcPr>
          <w:p w14:paraId="799D1111">
            <w:pPr>
              <w:spacing w:line="500" w:lineRule="exact"/>
              <w:jc w:val="center"/>
              <w:textAlignment w:val="baseline"/>
              <w:rPr>
                <w:rFonts w:hint="eastAsia" w:ascii="宋体" w:hAnsi="宋体" w:cs="宋体"/>
                <w:color w:val="auto"/>
                <w:sz w:val="24"/>
                <w:szCs w:val="24"/>
                <w:highlight w:val="none"/>
              </w:rPr>
            </w:pPr>
          </w:p>
        </w:tc>
        <w:tc>
          <w:tcPr>
            <w:tcW w:w="1347" w:type="dxa"/>
            <w:tcBorders>
              <w:top w:val="single" w:color="auto" w:sz="4" w:space="0"/>
              <w:left w:val="nil"/>
              <w:bottom w:val="single" w:color="auto" w:sz="4" w:space="0"/>
              <w:right w:val="single" w:color="auto" w:sz="4" w:space="0"/>
            </w:tcBorders>
            <w:noWrap w:val="0"/>
            <w:vAlign w:val="center"/>
          </w:tcPr>
          <w:p w14:paraId="4C5EFA75">
            <w:pPr>
              <w:spacing w:line="500" w:lineRule="exact"/>
              <w:jc w:val="center"/>
              <w:textAlignment w:val="baseline"/>
              <w:rPr>
                <w:rFonts w:hint="eastAsia" w:ascii="宋体" w:hAnsi="宋体" w:cs="宋体"/>
                <w:color w:val="auto"/>
                <w:sz w:val="24"/>
                <w:szCs w:val="24"/>
                <w:highlight w:val="none"/>
              </w:rPr>
            </w:pPr>
          </w:p>
        </w:tc>
      </w:tr>
      <w:tr w14:paraId="0949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51C2C1F3">
            <w:pPr>
              <w:spacing w:line="500" w:lineRule="exact"/>
              <w:jc w:val="center"/>
              <w:textAlignment w:val="baseline"/>
              <w:rPr>
                <w:rFonts w:hint="eastAsia" w:ascii="宋体" w:hAnsi="宋体" w:cs="宋体"/>
                <w:color w:val="auto"/>
                <w:sz w:val="24"/>
                <w:szCs w:val="24"/>
                <w:highlight w:val="none"/>
              </w:rPr>
            </w:pPr>
          </w:p>
        </w:tc>
        <w:tc>
          <w:tcPr>
            <w:tcW w:w="1809" w:type="dxa"/>
            <w:tcBorders>
              <w:top w:val="single" w:color="auto" w:sz="4" w:space="0"/>
              <w:left w:val="nil"/>
              <w:bottom w:val="single" w:color="auto" w:sz="4" w:space="0"/>
              <w:right w:val="single" w:color="auto" w:sz="4" w:space="0"/>
            </w:tcBorders>
            <w:noWrap w:val="0"/>
            <w:vAlign w:val="center"/>
          </w:tcPr>
          <w:p w14:paraId="226BF2F0">
            <w:pPr>
              <w:spacing w:line="500" w:lineRule="exact"/>
              <w:jc w:val="center"/>
              <w:textAlignment w:val="baseline"/>
              <w:rPr>
                <w:rFonts w:hint="eastAsia" w:ascii="宋体" w:hAnsi="宋体" w:cs="宋体"/>
                <w:color w:val="auto"/>
                <w:sz w:val="24"/>
                <w:szCs w:val="24"/>
                <w:highlight w:val="none"/>
              </w:rPr>
            </w:pPr>
          </w:p>
        </w:tc>
        <w:tc>
          <w:tcPr>
            <w:tcW w:w="1744" w:type="dxa"/>
            <w:tcBorders>
              <w:top w:val="single" w:color="auto" w:sz="4" w:space="0"/>
              <w:left w:val="nil"/>
              <w:bottom w:val="single" w:color="auto" w:sz="4" w:space="0"/>
              <w:right w:val="single" w:color="auto" w:sz="4" w:space="0"/>
            </w:tcBorders>
            <w:noWrap w:val="0"/>
            <w:vAlign w:val="center"/>
          </w:tcPr>
          <w:p w14:paraId="6390EB41">
            <w:pPr>
              <w:spacing w:line="500" w:lineRule="exact"/>
              <w:jc w:val="center"/>
              <w:textAlignment w:val="baseline"/>
              <w:rPr>
                <w:rFonts w:hint="eastAsia" w:ascii="宋体" w:hAnsi="宋体" w:cs="宋体"/>
                <w:color w:val="auto"/>
                <w:sz w:val="24"/>
                <w:szCs w:val="24"/>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31B80A23">
            <w:pPr>
              <w:spacing w:line="500" w:lineRule="exact"/>
              <w:jc w:val="center"/>
              <w:textAlignment w:val="baseline"/>
              <w:rPr>
                <w:rFonts w:hint="eastAsia" w:ascii="宋体" w:hAnsi="宋体" w:cs="宋体"/>
                <w:color w:val="auto"/>
                <w:sz w:val="24"/>
                <w:szCs w:val="24"/>
                <w:highlight w:val="none"/>
              </w:rPr>
            </w:pPr>
          </w:p>
        </w:tc>
        <w:tc>
          <w:tcPr>
            <w:tcW w:w="2074" w:type="dxa"/>
            <w:tcBorders>
              <w:top w:val="single" w:color="auto" w:sz="4" w:space="0"/>
              <w:left w:val="nil"/>
              <w:bottom w:val="single" w:color="auto" w:sz="4" w:space="0"/>
              <w:right w:val="single" w:color="auto" w:sz="4" w:space="0"/>
            </w:tcBorders>
            <w:noWrap w:val="0"/>
            <w:vAlign w:val="center"/>
          </w:tcPr>
          <w:p w14:paraId="14A965A8">
            <w:pPr>
              <w:spacing w:line="500" w:lineRule="exact"/>
              <w:jc w:val="center"/>
              <w:textAlignment w:val="baseline"/>
              <w:rPr>
                <w:rFonts w:hint="eastAsia" w:ascii="宋体" w:hAnsi="宋体" w:cs="宋体"/>
                <w:color w:val="auto"/>
                <w:sz w:val="24"/>
                <w:szCs w:val="24"/>
                <w:highlight w:val="none"/>
              </w:rPr>
            </w:pPr>
          </w:p>
        </w:tc>
        <w:tc>
          <w:tcPr>
            <w:tcW w:w="1347" w:type="dxa"/>
            <w:tcBorders>
              <w:top w:val="single" w:color="auto" w:sz="4" w:space="0"/>
              <w:left w:val="nil"/>
              <w:bottom w:val="single" w:color="auto" w:sz="4" w:space="0"/>
              <w:right w:val="single" w:color="auto" w:sz="4" w:space="0"/>
            </w:tcBorders>
            <w:noWrap w:val="0"/>
            <w:vAlign w:val="center"/>
          </w:tcPr>
          <w:p w14:paraId="57531060">
            <w:pPr>
              <w:spacing w:line="500" w:lineRule="exact"/>
              <w:jc w:val="center"/>
              <w:textAlignment w:val="baseline"/>
              <w:rPr>
                <w:rFonts w:hint="eastAsia" w:ascii="宋体" w:hAnsi="宋体" w:cs="宋体"/>
                <w:color w:val="auto"/>
                <w:sz w:val="24"/>
                <w:szCs w:val="24"/>
                <w:highlight w:val="none"/>
              </w:rPr>
            </w:pPr>
          </w:p>
        </w:tc>
      </w:tr>
      <w:tr w14:paraId="5A37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42893B35">
            <w:pPr>
              <w:spacing w:line="500" w:lineRule="exact"/>
              <w:jc w:val="center"/>
              <w:textAlignment w:val="baseline"/>
              <w:rPr>
                <w:rFonts w:hint="eastAsia" w:ascii="宋体" w:hAnsi="宋体" w:cs="宋体"/>
                <w:color w:val="auto"/>
                <w:sz w:val="24"/>
                <w:szCs w:val="24"/>
                <w:highlight w:val="none"/>
              </w:rPr>
            </w:pPr>
          </w:p>
        </w:tc>
        <w:tc>
          <w:tcPr>
            <w:tcW w:w="1809" w:type="dxa"/>
            <w:tcBorders>
              <w:top w:val="single" w:color="auto" w:sz="4" w:space="0"/>
              <w:left w:val="nil"/>
              <w:bottom w:val="single" w:color="auto" w:sz="4" w:space="0"/>
              <w:right w:val="single" w:color="auto" w:sz="4" w:space="0"/>
            </w:tcBorders>
            <w:noWrap w:val="0"/>
            <w:vAlign w:val="center"/>
          </w:tcPr>
          <w:p w14:paraId="5A4C7328">
            <w:pPr>
              <w:spacing w:line="500" w:lineRule="exact"/>
              <w:jc w:val="center"/>
              <w:textAlignment w:val="baseline"/>
              <w:rPr>
                <w:rFonts w:hint="eastAsia" w:ascii="宋体" w:hAnsi="宋体" w:cs="宋体"/>
                <w:color w:val="auto"/>
                <w:sz w:val="24"/>
                <w:szCs w:val="24"/>
                <w:highlight w:val="none"/>
              </w:rPr>
            </w:pPr>
          </w:p>
        </w:tc>
        <w:tc>
          <w:tcPr>
            <w:tcW w:w="1744" w:type="dxa"/>
            <w:tcBorders>
              <w:top w:val="single" w:color="auto" w:sz="4" w:space="0"/>
              <w:left w:val="nil"/>
              <w:bottom w:val="single" w:color="auto" w:sz="4" w:space="0"/>
              <w:right w:val="single" w:color="auto" w:sz="4" w:space="0"/>
            </w:tcBorders>
            <w:noWrap w:val="0"/>
            <w:vAlign w:val="center"/>
          </w:tcPr>
          <w:p w14:paraId="5F75F266">
            <w:pPr>
              <w:spacing w:line="500" w:lineRule="exact"/>
              <w:jc w:val="center"/>
              <w:textAlignment w:val="baseline"/>
              <w:rPr>
                <w:rFonts w:hint="eastAsia" w:ascii="宋体" w:hAnsi="宋体" w:cs="宋体"/>
                <w:color w:val="auto"/>
                <w:sz w:val="24"/>
                <w:szCs w:val="24"/>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1546999A">
            <w:pPr>
              <w:spacing w:line="500" w:lineRule="exact"/>
              <w:jc w:val="center"/>
              <w:textAlignment w:val="baseline"/>
              <w:rPr>
                <w:rFonts w:hint="eastAsia" w:ascii="宋体" w:hAnsi="宋体" w:cs="宋体"/>
                <w:color w:val="auto"/>
                <w:sz w:val="24"/>
                <w:szCs w:val="24"/>
                <w:highlight w:val="none"/>
              </w:rPr>
            </w:pPr>
          </w:p>
        </w:tc>
        <w:tc>
          <w:tcPr>
            <w:tcW w:w="2074" w:type="dxa"/>
            <w:tcBorders>
              <w:top w:val="single" w:color="auto" w:sz="4" w:space="0"/>
              <w:left w:val="nil"/>
              <w:bottom w:val="single" w:color="auto" w:sz="4" w:space="0"/>
              <w:right w:val="single" w:color="auto" w:sz="4" w:space="0"/>
            </w:tcBorders>
            <w:noWrap w:val="0"/>
            <w:vAlign w:val="center"/>
          </w:tcPr>
          <w:p w14:paraId="17EB82FC">
            <w:pPr>
              <w:spacing w:line="500" w:lineRule="exact"/>
              <w:jc w:val="center"/>
              <w:textAlignment w:val="baseline"/>
              <w:rPr>
                <w:rFonts w:hint="eastAsia" w:ascii="宋体" w:hAnsi="宋体" w:cs="宋体"/>
                <w:color w:val="auto"/>
                <w:sz w:val="24"/>
                <w:szCs w:val="24"/>
                <w:highlight w:val="none"/>
              </w:rPr>
            </w:pPr>
          </w:p>
        </w:tc>
        <w:tc>
          <w:tcPr>
            <w:tcW w:w="1347" w:type="dxa"/>
            <w:tcBorders>
              <w:top w:val="single" w:color="auto" w:sz="4" w:space="0"/>
              <w:left w:val="nil"/>
              <w:bottom w:val="single" w:color="auto" w:sz="4" w:space="0"/>
              <w:right w:val="single" w:color="auto" w:sz="4" w:space="0"/>
            </w:tcBorders>
            <w:noWrap w:val="0"/>
            <w:vAlign w:val="center"/>
          </w:tcPr>
          <w:p w14:paraId="7318B49A">
            <w:pPr>
              <w:spacing w:line="500" w:lineRule="exact"/>
              <w:jc w:val="center"/>
              <w:textAlignment w:val="baseline"/>
              <w:rPr>
                <w:rFonts w:hint="eastAsia" w:ascii="宋体" w:hAnsi="宋体" w:cs="宋体"/>
                <w:color w:val="auto"/>
                <w:sz w:val="24"/>
                <w:szCs w:val="24"/>
                <w:highlight w:val="none"/>
              </w:rPr>
            </w:pPr>
          </w:p>
        </w:tc>
      </w:tr>
      <w:tr w14:paraId="2F06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55C06579">
            <w:pPr>
              <w:spacing w:line="500" w:lineRule="exact"/>
              <w:jc w:val="center"/>
              <w:textAlignment w:val="baseline"/>
              <w:rPr>
                <w:rFonts w:hint="eastAsia" w:ascii="宋体" w:hAnsi="宋体" w:cs="宋体"/>
                <w:color w:val="auto"/>
                <w:sz w:val="24"/>
                <w:szCs w:val="24"/>
                <w:highlight w:val="none"/>
              </w:rPr>
            </w:pPr>
          </w:p>
        </w:tc>
        <w:tc>
          <w:tcPr>
            <w:tcW w:w="1809" w:type="dxa"/>
            <w:tcBorders>
              <w:top w:val="single" w:color="auto" w:sz="4" w:space="0"/>
              <w:left w:val="nil"/>
              <w:bottom w:val="single" w:color="auto" w:sz="4" w:space="0"/>
              <w:right w:val="single" w:color="auto" w:sz="4" w:space="0"/>
            </w:tcBorders>
            <w:noWrap w:val="0"/>
            <w:vAlign w:val="center"/>
          </w:tcPr>
          <w:p w14:paraId="57CA3292">
            <w:pPr>
              <w:spacing w:line="500" w:lineRule="exact"/>
              <w:jc w:val="center"/>
              <w:textAlignment w:val="baseline"/>
              <w:rPr>
                <w:rFonts w:hint="eastAsia" w:ascii="宋体" w:hAnsi="宋体" w:cs="宋体"/>
                <w:color w:val="auto"/>
                <w:sz w:val="24"/>
                <w:szCs w:val="24"/>
                <w:highlight w:val="none"/>
              </w:rPr>
            </w:pPr>
          </w:p>
        </w:tc>
        <w:tc>
          <w:tcPr>
            <w:tcW w:w="1744" w:type="dxa"/>
            <w:tcBorders>
              <w:top w:val="single" w:color="auto" w:sz="4" w:space="0"/>
              <w:left w:val="nil"/>
              <w:bottom w:val="single" w:color="auto" w:sz="4" w:space="0"/>
              <w:right w:val="single" w:color="auto" w:sz="4" w:space="0"/>
            </w:tcBorders>
            <w:noWrap w:val="0"/>
            <w:vAlign w:val="center"/>
          </w:tcPr>
          <w:p w14:paraId="7FF8160D">
            <w:pPr>
              <w:spacing w:line="500" w:lineRule="exact"/>
              <w:jc w:val="center"/>
              <w:textAlignment w:val="baseline"/>
              <w:rPr>
                <w:rFonts w:hint="eastAsia" w:ascii="宋体" w:hAnsi="宋体" w:cs="宋体"/>
                <w:color w:val="auto"/>
                <w:sz w:val="24"/>
                <w:szCs w:val="24"/>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1833F3A6">
            <w:pPr>
              <w:spacing w:line="500" w:lineRule="exact"/>
              <w:jc w:val="center"/>
              <w:textAlignment w:val="baseline"/>
              <w:rPr>
                <w:rFonts w:hint="eastAsia" w:ascii="宋体" w:hAnsi="宋体" w:cs="宋体"/>
                <w:color w:val="auto"/>
                <w:sz w:val="24"/>
                <w:szCs w:val="24"/>
                <w:highlight w:val="none"/>
              </w:rPr>
            </w:pPr>
          </w:p>
        </w:tc>
        <w:tc>
          <w:tcPr>
            <w:tcW w:w="2074" w:type="dxa"/>
            <w:tcBorders>
              <w:top w:val="single" w:color="auto" w:sz="4" w:space="0"/>
              <w:left w:val="nil"/>
              <w:bottom w:val="single" w:color="auto" w:sz="4" w:space="0"/>
              <w:right w:val="single" w:color="auto" w:sz="4" w:space="0"/>
            </w:tcBorders>
            <w:noWrap w:val="0"/>
            <w:vAlign w:val="center"/>
          </w:tcPr>
          <w:p w14:paraId="77C9DF74">
            <w:pPr>
              <w:spacing w:line="500" w:lineRule="exact"/>
              <w:jc w:val="center"/>
              <w:textAlignment w:val="baseline"/>
              <w:rPr>
                <w:rFonts w:hint="eastAsia" w:ascii="宋体" w:hAnsi="宋体" w:cs="宋体"/>
                <w:color w:val="auto"/>
                <w:sz w:val="24"/>
                <w:szCs w:val="24"/>
                <w:highlight w:val="none"/>
              </w:rPr>
            </w:pPr>
          </w:p>
        </w:tc>
        <w:tc>
          <w:tcPr>
            <w:tcW w:w="1347" w:type="dxa"/>
            <w:tcBorders>
              <w:top w:val="single" w:color="auto" w:sz="4" w:space="0"/>
              <w:left w:val="nil"/>
              <w:bottom w:val="single" w:color="auto" w:sz="4" w:space="0"/>
              <w:right w:val="single" w:color="auto" w:sz="4" w:space="0"/>
            </w:tcBorders>
            <w:noWrap w:val="0"/>
            <w:vAlign w:val="center"/>
          </w:tcPr>
          <w:p w14:paraId="77823776">
            <w:pPr>
              <w:spacing w:line="500" w:lineRule="exact"/>
              <w:jc w:val="center"/>
              <w:textAlignment w:val="baseline"/>
              <w:rPr>
                <w:rFonts w:hint="eastAsia" w:ascii="宋体" w:hAnsi="宋体" w:cs="宋体"/>
                <w:color w:val="auto"/>
                <w:sz w:val="24"/>
                <w:szCs w:val="24"/>
                <w:highlight w:val="none"/>
              </w:rPr>
            </w:pPr>
          </w:p>
        </w:tc>
      </w:tr>
      <w:tr w14:paraId="7859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462FF8CE">
            <w:pPr>
              <w:spacing w:line="500" w:lineRule="exact"/>
              <w:jc w:val="center"/>
              <w:textAlignment w:val="baseline"/>
              <w:rPr>
                <w:rFonts w:hint="eastAsia" w:ascii="宋体" w:hAnsi="宋体" w:cs="宋体"/>
                <w:color w:val="auto"/>
                <w:sz w:val="24"/>
                <w:szCs w:val="24"/>
                <w:highlight w:val="none"/>
              </w:rPr>
            </w:pPr>
          </w:p>
        </w:tc>
        <w:tc>
          <w:tcPr>
            <w:tcW w:w="1809" w:type="dxa"/>
            <w:tcBorders>
              <w:top w:val="single" w:color="auto" w:sz="4" w:space="0"/>
              <w:left w:val="nil"/>
              <w:bottom w:val="single" w:color="auto" w:sz="4" w:space="0"/>
              <w:right w:val="single" w:color="auto" w:sz="4" w:space="0"/>
            </w:tcBorders>
            <w:noWrap w:val="0"/>
            <w:vAlign w:val="center"/>
          </w:tcPr>
          <w:p w14:paraId="1F59ED37">
            <w:pPr>
              <w:spacing w:line="500" w:lineRule="exact"/>
              <w:jc w:val="center"/>
              <w:textAlignment w:val="baseline"/>
              <w:rPr>
                <w:rFonts w:hint="eastAsia" w:ascii="宋体" w:hAnsi="宋体" w:cs="宋体"/>
                <w:color w:val="auto"/>
                <w:sz w:val="24"/>
                <w:szCs w:val="24"/>
                <w:highlight w:val="none"/>
              </w:rPr>
            </w:pPr>
          </w:p>
        </w:tc>
        <w:tc>
          <w:tcPr>
            <w:tcW w:w="1744" w:type="dxa"/>
            <w:tcBorders>
              <w:top w:val="single" w:color="auto" w:sz="4" w:space="0"/>
              <w:left w:val="nil"/>
              <w:bottom w:val="single" w:color="auto" w:sz="4" w:space="0"/>
              <w:right w:val="single" w:color="auto" w:sz="4" w:space="0"/>
            </w:tcBorders>
            <w:noWrap w:val="0"/>
            <w:vAlign w:val="center"/>
          </w:tcPr>
          <w:p w14:paraId="6FBAB0EC">
            <w:pPr>
              <w:spacing w:line="500" w:lineRule="exact"/>
              <w:jc w:val="center"/>
              <w:textAlignment w:val="baseline"/>
              <w:rPr>
                <w:rFonts w:hint="eastAsia" w:ascii="宋体" w:hAnsi="宋体" w:cs="宋体"/>
                <w:color w:val="auto"/>
                <w:sz w:val="24"/>
                <w:szCs w:val="24"/>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3D1F024A">
            <w:pPr>
              <w:spacing w:line="500" w:lineRule="exact"/>
              <w:jc w:val="center"/>
              <w:textAlignment w:val="baseline"/>
              <w:rPr>
                <w:rFonts w:hint="eastAsia" w:ascii="宋体" w:hAnsi="宋体" w:cs="宋体"/>
                <w:color w:val="auto"/>
                <w:sz w:val="24"/>
                <w:szCs w:val="24"/>
                <w:highlight w:val="none"/>
              </w:rPr>
            </w:pPr>
          </w:p>
        </w:tc>
        <w:tc>
          <w:tcPr>
            <w:tcW w:w="2074" w:type="dxa"/>
            <w:tcBorders>
              <w:top w:val="single" w:color="auto" w:sz="4" w:space="0"/>
              <w:left w:val="nil"/>
              <w:bottom w:val="single" w:color="auto" w:sz="4" w:space="0"/>
              <w:right w:val="single" w:color="auto" w:sz="4" w:space="0"/>
            </w:tcBorders>
            <w:noWrap w:val="0"/>
            <w:vAlign w:val="center"/>
          </w:tcPr>
          <w:p w14:paraId="5D18978E">
            <w:pPr>
              <w:spacing w:line="500" w:lineRule="exact"/>
              <w:jc w:val="center"/>
              <w:textAlignment w:val="baseline"/>
              <w:rPr>
                <w:rFonts w:hint="eastAsia" w:ascii="宋体" w:hAnsi="宋体" w:cs="宋体"/>
                <w:color w:val="auto"/>
                <w:sz w:val="24"/>
                <w:szCs w:val="24"/>
                <w:highlight w:val="none"/>
              </w:rPr>
            </w:pPr>
          </w:p>
        </w:tc>
        <w:tc>
          <w:tcPr>
            <w:tcW w:w="1347" w:type="dxa"/>
            <w:tcBorders>
              <w:top w:val="single" w:color="auto" w:sz="4" w:space="0"/>
              <w:left w:val="nil"/>
              <w:bottom w:val="single" w:color="auto" w:sz="4" w:space="0"/>
              <w:right w:val="single" w:color="auto" w:sz="4" w:space="0"/>
            </w:tcBorders>
            <w:noWrap w:val="0"/>
            <w:vAlign w:val="center"/>
          </w:tcPr>
          <w:p w14:paraId="1FE46A82">
            <w:pPr>
              <w:spacing w:line="500" w:lineRule="exact"/>
              <w:jc w:val="center"/>
              <w:textAlignment w:val="baseline"/>
              <w:rPr>
                <w:rFonts w:hint="eastAsia" w:ascii="宋体" w:hAnsi="宋体" w:cs="宋体"/>
                <w:color w:val="auto"/>
                <w:sz w:val="24"/>
                <w:szCs w:val="24"/>
                <w:highlight w:val="none"/>
              </w:rPr>
            </w:pPr>
          </w:p>
        </w:tc>
      </w:tr>
      <w:tr w14:paraId="1EE8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35947794">
            <w:pPr>
              <w:spacing w:line="500" w:lineRule="exact"/>
              <w:jc w:val="center"/>
              <w:textAlignment w:val="baseline"/>
              <w:rPr>
                <w:rFonts w:hint="eastAsia" w:ascii="宋体" w:hAnsi="宋体" w:cs="宋体"/>
                <w:color w:val="auto"/>
                <w:sz w:val="24"/>
                <w:szCs w:val="24"/>
                <w:highlight w:val="none"/>
              </w:rPr>
            </w:pPr>
          </w:p>
        </w:tc>
        <w:tc>
          <w:tcPr>
            <w:tcW w:w="1809" w:type="dxa"/>
            <w:tcBorders>
              <w:top w:val="single" w:color="auto" w:sz="4" w:space="0"/>
              <w:left w:val="nil"/>
              <w:bottom w:val="single" w:color="auto" w:sz="4" w:space="0"/>
              <w:right w:val="single" w:color="auto" w:sz="4" w:space="0"/>
            </w:tcBorders>
            <w:noWrap w:val="0"/>
            <w:vAlign w:val="center"/>
          </w:tcPr>
          <w:p w14:paraId="4BDCE10F">
            <w:pPr>
              <w:spacing w:line="500" w:lineRule="exact"/>
              <w:jc w:val="center"/>
              <w:textAlignment w:val="baseline"/>
              <w:rPr>
                <w:rFonts w:hint="eastAsia" w:ascii="宋体" w:hAnsi="宋体" w:cs="宋体"/>
                <w:color w:val="auto"/>
                <w:sz w:val="24"/>
                <w:szCs w:val="24"/>
                <w:highlight w:val="none"/>
              </w:rPr>
            </w:pPr>
          </w:p>
        </w:tc>
        <w:tc>
          <w:tcPr>
            <w:tcW w:w="1744" w:type="dxa"/>
            <w:tcBorders>
              <w:top w:val="single" w:color="auto" w:sz="4" w:space="0"/>
              <w:left w:val="nil"/>
              <w:bottom w:val="single" w:color="auto" w:sz="4" w:space="0"/>
              <w:right w:val="single" w:color="auto" w:sz="4" w:space="0"/>
            </w:tcBorders>
            <w:noWrap w:val="0"/>
            <w:vAlign w:val="center"/>
          </w:tcPr>
          <w:p w14:paraId="170D707A">
            <w:pPr>
              <w:spacing w:line="500" w:lineRule="exact"/>
              <w:jc w:val="center"/>
              <w:textAlignment w:val="baseline"/>
              <w:rPr>
                <w:rFonts w:hint="eastAsia" w:ascii="宋体" w:hAnsi="宋体" w:cs="宋体"/>
                <w:color w:val="auto"/>
                <w:sz w:val="24"/>
                <w:szCs w:val="24"/>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62719986">
            <w:pPr>
              <w:spacing w:line="500" w:lineRule="exact"/>
              <w:jc w:val="center"/>
              <w:textAlignment w:val="baseline"/>
              <w:rPr>
                <w:rFonts w:hint="eastAsia" w:ascii="宋体" w:hAnsi="宋体" w:cs="宋体"/>
                <w:color w:val="auto"/>
                <w:sz w:val="24"/>
                <w:szCs w:val="24"/>
                <w:highlight w:val="none"/>
              </w:rPr>
            </w:pPr>
          </w:p>
        </w:tc>
        <w:tc>
          <w:tcPr>
            <w:tcW w:w="2074" w:type="dxa"/>
            <w:tcBorders>
              <w:top w:val="single" w:color="auto" w:sz="4" w:space="0"/>
              <w:left w:val="nil"/>
              <w:bottom w:val="single" w:color="auto" w:sz="4" w:space="0"/>
              <w:right w:val="single" w:color="auto" w:sz="4" w:space="0"/>
            </w:tcBorders>
            <w:noWrap w:val="0"/>
            <w:vAlign w:val="center"/>
          </w:tcPr>
          <w:p w14:paraId="3A477A1F">
            <w:pPr>
              <w:spacing w:line="500" w:lineRule="exact"/>
              <w:jc w:val="center"/>
              <w:textAlignment w:val="baseline"/>
              <w:rPr>
                <w:rFonts w:hint="eastAsia" w:ascii="宋体" w:hAnsi="宋体" w:cs="宋体"/>
                <w:color w:val="auto"/>
                <w:sz w:val="24"/>
                <w:szCs w:val="24"/>
                <w:highlight w:val="none"/>
              </w:rPr>
            </w:pPr>
          </w:p>
        </w:tc>
        <w:tc>
          <w:tcPr>
            <w:tcW w:w="1347" w:type="dxa"/>
            <w:tcBorders>
              <w:top w:val="single" w:color="auto" w:sz="4" w:space="0"/>
              <w:left w:val="nil"/>
              <w:bottom w:val="single" w:color="auto" w:sz="4" w:space="0"/>
              <w:right w:val="single" w:color="auto" w:sz="4" w:space="0"/>
            </w:tcBorders>
            <w:noWrap w:val="0"/>
            <w:vAlign w:val="center"/>
          </w:tcPr>
          <w:p w14:paraId="3AC69B01">
            <w:pPr>
              <w:spacing w:line="500" w:lineRule="exact"/>
              <w:jc w:val="center"/>
              <w:textAlignment w:val="baseline"/>
              <w:rPr>
                <w:rFonts w:hint="eastAsia" w:ascii="宋体" w:hAnsi="宋体" w:cs="宋体"/>
                <w:color w:val="auto"/>
                <w:sz w:val="24"/>
                <w:szCs w:val="24"/>
                <w:highlight w:val="none"/>
              </w:rPr>
            </w:pPr>
          </w:p>
        </w:tc>
      </w:tr>
      <w:tr w14:paraId="2EA3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2CAF1C0E">
            <w:pPr>
              <w:spacing w:line="500" w:lineRule="exact"/>
              <w:jc w:val="center"/>
              <w:textAlignment w:val="baseline"/>
              <w:rPr>
                <w:rFonts w:hint="eastAsia" w:ascii="宋体" w:hAnsi="宋体" w:cs="宋体"/>
                <w:color w:val="auto"/>
                <w:sz w:val="24"/>
                <w:szCs w:val="24"/>
                <w:highlight w:val="none"/>
              </w:rPr>
            </w:pPr>
          </w:p>
        </w:tc>
        <w:tc>
          <w:tcPr>
            <w:tcW w:w="1809" w:type="dxa"/>
            <w:tcBorders>
              <w:top w:val="single" w:color="auto" w:sz="4" w:space="0"/>
              <w:left w:val="nil"/>
              <w:bottom w:val="single" w:color="auto" w:sz="4" w:space="0"/>
              <w:right w:val="single" w:color="auto" w:sz="4" w:space="0"/>
            </w:tcBorders>
            <w:noWrap w:val="0"/>
            <w:vAlign w:val="center"/>
          </w:tcPr>
          <w:p w14:paraId="2CD80C8E">
            <w:pPr>
              <w:spacing w:line="500" w:lineRule="exact"/>
              <w:jc w:val="center"/>
              <w:textAlignment w:val="baseline"/>
              <w:rPr>
                <w:rFonts w:hint="eastAsia" w:ascii="宋体" w:hAnsi="宋体" w:cs="宋体"/>
                <w:color w:val="auto"/>
                <w:sz w:val="24"/>
                <w:szCs w:val="24"/>
                <w:highlight w:val="none"/>
              </w:rPr>
            </w:pPr>
          </w:p>
        </w:tc>
        <w:tc>
          <w:tcPr>
            <w:tcW w:w="1744" w:type="dxa"/>
            <w:tcBorders>
              <w:top w:val="single" w:color="auto" w:sz="4" w:space="0"/>
              <w:left w:val="nil"/>
              <w:bottom w:val="single" w:color="auto" w:sz="4" w:space="0"/>
              <w:right w:val="single" w:color="auto" w:sz="4" w:space="0"/>
            </w:tcBorders>
            <w:noWrap w:val="0"/>
            <w:vAlign w:val="center"/>
          </w:tcPr>
          <w:p w14:paraId="63FB8F7D">
            <w:pPr>
              <w:spacing w:line="500" w:lineRule="exact"/>
              <w:jc w:val="center"/>
              <w:textAlignment w:val="baseline"/>
              <w:rPr>
                <w:rFonts w:hint="eastAsia" w:ascii="宋体" w:hAnsi="宋体" w:cs="宋体"/>
                <w:color w:val="auto"/>
                <w:sz w:val="24"/>
                <w:szCs w:val="24"/>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3BCA6F74">
            <w:pPr>
              <w:spacing w:line="500" w:lineRule="exact"/>
              <w:jc w:val="center"/>
              <w:textAlignment w:val="baseline"/>
              <w:rPr>
                <w:rFonts w:hint="eastAsia" w:ascii="宋体" w:hAnsi="宋体" w:cs="宋体"/>
                <w:color w:val="auto"/>
                <w:sz w:val="24"/>
                <w:szCs w:val="24"/>
                <w:highlight w:val="none"/>
              </w:rPr>
            </w:pPr>
          </w:p>
        </w:tc>
        <w:tc>
          <w:tcPr>
            <w:tcW w:w="2074" w:type="dxa"/>
            <w:tcBorders>
              <w:top w:val="single" w:color="auto" w:sz="4" w:space="0"/>
              <w:left w:val="nil"/>
              <w:bottom w:val="single" w:color="auto" w:sz="4" w:space="0"/>
              <w:right w:val="single" w:color="auto" w:sz="4" w:space="0"/>
            </w:tcBorders>
            <w:noWrap w:val="0"/>
            <w:vAlign w:val="center"/>
          </w:tcPr>
          <w:p w14:paraId="4E2F3FC3">
            <w:pPr>
              <w:spacing w:line="500" w:lineRule="exact"/>
              <w:jc w:val="center"/>
              <w:textAlignment w:val="baseline"/>
              <w:rPr>
                <w:rFonts w:hint="eastAsia" w:ascii="宋体" w:hAnsi="宋体" w:cs="宋体"/>
                <w:color w:val="auto"/>
                <w:sz w:val="24"/>
                <w:szCs w:val="24"/>
                <w:highlight w:val="none"/>
              </w:rPr>
            </w:pPr>
          </w:p>
        </w:tc>
        <w:tc>
          <w:tcPr>
            <w:tcW w:w="1347" w:type="dxa"/>
            <w:tcBorders>
              <w:top w:val="single" w:color="auto" w:sz="4" w:space="0"/>
              <w:left w:val="nil"/>
              <w:bottom w:val="single" w:color="auto" w:sz="4" w:space="0"/>
              <w:right w:val="single" w:color="auto" w:sz="4" w:space="0"/>
            </w:tcBorders>
            <w:noWrap w:val="0"/>
            <w:vAlign w:val="center"/>
          </w:tcPr>
          <w:p w14:paraId="7AEE8575">
            <w:pPr>
              <w:spacing w:line="500" w:lineRule="exact"/>
              <w:jc w:val="center"/>
              <w:textAlignment w:val="baseline"/>
              <w:rPr>
                <w:rFonts w:hint="eastAsia" w:ascii="宋体" w:hAnsi="宋体" w:cs="宋体"/>
                <w:color w:val="auto"/>
                <w:sz w:val="24"/>
                <w:szCs w:val="24"/>
                <w:highlight w:val="none"/>
              </w:rPr>
            </w:pPr>
          </w:p>
        </w:tc>
      </w:tr>
      <w:tr w14:paraId="06FF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036A849B">
            <w:pPr>
              <w:spacing w:line="500" w:lineRule="exact"/>
              <w:jc w:val="center"/>
              <w:textAlignment w:val="baseline"/>
              <w:rPr>
                <w:rFonts w:hint="eastAsia" w:ascii="宋体" w:hAnsi="宋体" w:cs="宋体"/>
                <w:color w:val="auto"/>
                <w:sz w:val="24"/>
                <w:szCs w:val="24"/>
                <w:highlight w:val="none"/>
              </w:rPr>
            </w:pPr>
          </w:p>
        </w:tc>
        <w:tc>
          <w:tcPr>
            <w:tcW w:w="1809" w:type="dxa"/>
            <w:tcBorders>
              <w:top w:val="single" w:color="auto" w:sz="4" w:space="0"/>
              <w:left w:val="nil"/>
              <w:bottom w:val="single" w:color="auto" w:sz="4" w:space="0"/>
              <w:right w:val="single" w:color="auto" w:sz="4" w:space="0"/>
            </w:tcBorders>
            <w:noWrap w:val="0"/>
            <w:vAlign w:val="center"/>
          </w:tcPr>
          <w:p w14:paraId="06CC839C">
            <w:pPr>
              <w:spacing w:line="500" w:lineRule="exact"/>
              <w:jc w:val="center"/>
              <w:textAlignment w:val="baseline"/>
              <w:rPr>
                <w:rFonts w:hint="eastAsia" w:ascii="宋体" w:hAnsi="宋体" w:cs="宋体"/>
                <w:color w:val="auto"/>
                <w:sz w:val="24"/>
                <w:szCs w:val="24"/>
                <w:highlight w:val="none"/>
              </w:rPr>
            </w:pPr>
          </w:p>
        </w:tc>
        <w:tc>
          <w:tcPr>
            <w:tcW w:w="1744" w:type="dxa"/>
            <w:tcBorders>
              <w:top w:val="single" w:color="auto" w:sz="4" w:space="0"/>
              <w:left w:val="nil"/>
              <w:bottom w:val="single" w:color="auto" w:sz="4" w:space="0"/>
              <w:right w:val="single" w:color="auto" w:sz="4" w:space="0"/>
            </w:tcBorders>
            <w:noWrap w:val="0"/>
            <w:vAlign w:val="center"/>
          </w:tcPr>
          <w:p w14:paraId="1235FA6F">
            <w:pPr>
              <w:spacing w:line="500" w:lineRule="exact"/>
              <w:jc w:val="center"/>
              <w:textAlignment w:val="baseline"/>
              <w:rPr>
                <w:rFonts w:hint="eastAsia" w:ascii="宋体" w:hAnsi="宋体" w:cs="宋体"/>
                <w:color w:val="auto"/>
                <w:sz w:val="24"/>
                <w:szCs w:val="24"/>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5AACF9D1">
            <w:pPr>
              <w:spacing w:line="500" w:lineRule="exact"/>
              <w:jc w:val="center"/>
              <w:textAlignment w:val="baseline"/>
              <w:rPr>
                <w:rFonts w:hint="eastAsia" w:ascii="宋体" w:hAnsi="宋体" w:cs="宋体"/>
                <w:color w:val="auto"/>
                <w:sz w:val="24"/>
                <w:szCs w:val="24"/>
                <w:highlight w:val="none"/>
              </w:rPr>
            </w:pPr>
          </w:p>
        </w:tc>
        <w:tc>
          <w:tcPr>
            <w:tcW w:w="2074" w:type="dxa"/>
            <w:tcBorders>
              <w:top w:val="single" w:color="auto" w:sz="4" w:space="0"/>
              <w:left w:val="nil"/>
              <w:bottom w:val="single" w:color="auto" w:sz="4" w:space="0"/>
              <w:right w:val="single" w:color="auto" w:sz="4" w:space="0"/>
            </w:tcBorders>
            <w:noWrap w:val="0"/>
            <w:vAlign w:val="center"/>
          </w:tcPr>
          <w:p w14:paraId="5603A70B">
            <w:pPr>
              <w:spacing w:line="500" w:lineRule="exact"/>
              <w:jc w:val="center"/>
              <w:textAlignment w:val="baseline"/>
              <w:rPr>
                <w:rFonts w:hint="eastAsia" w:ascii="宋体" w:hAnsi="宋体" w:cs="宋体"/>
                <w:color w:val="auto"/>
                <w:sz w:val="24"/>
                <w:szCs w:val="24"/>
                <w:highlight w:val="none"/>
              </w:rPr>
            </w:pPr>
          </w:p>
        </w:tc>
        <w:tc>
          <w:tcPr>
            <w:tcW w:w="1347" w:type="dxa"/>
            <w:tcBorders>
              <w:top w:val="single" w:color="auto" w:sz="4" w:space="0"/>
              <w:left w:val="nil"/>
              <w:bottom w:val="single" w:color="auto" w:sz="4" w:space="0"/>
              <w:right w:val="single" w:color="auto" w:sz="4" w:space="0"/>
            </w:tcBorders>
            <w:noWrap w:val="0"/>
            <w:vAlign w:val="center"/>
          </w:tcPr>
          <w:p w14:paraId="746EF273">
            <w:pPr>
              <w:spacing w:line="500" w:lineRule="exact"/>
              <w:jc w:val="center"/>
              <w:textAlignment w:val="baseline"/>
              <w:rPr>
                <w:rFonts w:hint="eastAsia" w:ascii="宋体" w:hAnsi="宋体" w:cs="宋体"/>
                <w:color w:val="auto"/>
                <w:sz w:val="24"/>
                <w:szCs w:val="24"/>
                <w:highlight w:val="none"/>
              </w:rPr>
            </w:pPr>
          </w:p>
        </w:tc>
      </w:tr>
      <w:tr w14:paraId="34C0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1B622C1E">
            <w:pPr>
              <w:spacing w:line="500" w:lineRule="exact"/>
              <w:jc w:val="center"/>
              <w:textAlignment w:val="baseline"/>
              <w:rPr>
                <w:rFonts w:hint="eastAsia" w:ascii="宋体" w:hAnsi="宋体" w:cs="宋体"/>
                <w:color w:val="auto"/>
                <w:sz w:val="24"/>
                <w:szCs w:val="24"/>
                <w:highlight w:val="none"/>
              </w:rPr>
            </w:pPr>
          </w:p>
        </w:tc>
        <w:tc>
          <w:tcPr>
            <w:tcW w:w="1809" w:type="dxa"/>
            <w:tcBorders>
              <w:top w:val="single" w:color="auto" w:sz="4" w:space="0"/>
              <w:left w:val="nil"/>
              <w:bottom w:val="single" w:color="auto" w:sz="4" w:space="0"/>
              <w:right w:val="single" w:color="auto" w:sz="4" w:space="0"/>
            </w:tcBorders>
            <w:noWrap w:val="0"/>
            <w:vAlign w:val="center"/>
          </w:tcPr>
          <w:p w14:paraId="5C339DCF">
            <w:pPr>
              <w:spacing w:line="500" w:lineRule="exact"/>
              <w:jc w:val="center"/>
              <w:textAlignment w:val="baseline"/>
              <w:rPr>
                <w:rFonts w:hint="eastAsia" w:ascii="宋体" w:hAnsi="宋体" w:cs="宋体"/>
                <w:color w:val="auto"/>
                <w:sz w:val="24"/>
                <w:szCs w:val="24"/>
                <w:highlight w:val="none"/>
              </w:rPr>
            </w:pPr>
          </w:p>
        </w:tc>
        <w:tc>
          <w:tcPr>
            <w:tcW w:w="1744" w:type="dxa"/>
            <w:tcBorders>
              <w:top w:val="single" w:color="auto" w:sz="4" w:space="0"/>
              <w:left w:val="nil"/>
              <w:bottom w:val="single" w:color="auto" w:sz="4" w:space="0"/>
              <w:right w:val="single" w:color="auto" w:sz="4" w:space="0"/>
            </w:tcBorders>
            <w:noWrap w:val="0"/>
            <w:vAlign w:val="center"/>
          </w:tcPr>
          <w:p w14:paraId="07CE87BA">
            <w:pPr>
              <w:spacing w:line="500" w:lineRule="exact"/>
              <w:jc w:val="center"/>
              <w:textAlignment w:val="baseline"/>
              <w:rPr>
                <w:rFonts w:hint="eastAsia" w:ascii="宋体" w:hAnsi="宋体" w:cs="宋体"/>
                <w:color w:val="auto"/>
                <w:sz w:val="24"/>
                <w:szCs w:val="24"/>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5BFB5FB7">
            <w:pPr>
              <w:spacing w:line="500" w:lineRule="exact"/>
              <w:jc w:val="center"/>
              <w:textAlignment w:val="baseline"/>
              <w:rPr>
                <w:rFonts w:hint="eastAsia" w:ascii="宋体" w:hAnsi="宋体" w:cs="宋体"/>
                <w:color w:val="auto"/>
                <w:sz w:val="24"/>
                <w:szCs w:val="24"/>
                <w:highlight w:val="none"/>
              </w:rPr>
            </w:pPr>
          </w:p>
        </w:tc>
        <w:tc>
          <w:tcPr>
            <w:tcW w:w="2074" w:type="dxa"/>
            <w:tcBorders>
              <w:top w:val="single" w:color="auto" w:sz="4" w:space="0"/>
              <w:left w:val="nil"/>
              <w:bottom w:val="single" w:color="auto" w:sz="4" w:space="0"/>
              <w:right w:val="single" w:color="auto" w:sz="4" w:space="0"/>
            </w:tcBorders>
            <w:noWrap w:val="0"/>
            <w:vAlign w:val="center"/>
          </w:tcPr>
          <w:p w14:paraId="7ED87B77">
            <w:pPr>
              <w:spacing w:line="500" w:lineRule="exact"/>
              <w:jc w:val="center"/>
              <w:textAlignment w:val="baseline"/>
              <w:rPr>
                <w:rFonts w:hint="eastAsia" w:ascii="宋体" w:hAnsi="宋体" w:cs="宋体"/>
                <w:color w:val="auto"/>
                <w:sz w:val="24"/>
                <w:szCs w:val="24"/>
                <w:highlight w:val="none"/>
              </w:rPr>
            </w:pPr>
          </w:p>
        </w:tc>
        <w:tc>
          <w:tcPr>
            <w:tcW w:w="1347" w:type="dxa"/>
            <w:tcBorders>
              <w:top w:val="single" w:color="auto" w:sz="4" w:space="0"/>
              <w:left w:val="nil"/>
              <w:bottom w:val="single" w:color="auto" w:sz="4" w:space="0"/>
              <w:right w:val="single" w:color="auto" w:sz="4" w:space="0"/>
            </w:tcBorders>
            <w:noWrap w:val="0"/>
            <w:vAlign w:val="center"/>
          </w:tcPr>
          <w:p w14:paraId="2652A930">
            <w:pPr>
              <w:spacing w:line="500" w:lineRule="exact"/>
              <w:jc w:val="center"/>
              <w:textAlignment w:val="baseline"/>
              <w:rPr>
                <w:rFonts w:hint="eastAsia" w:ascii="宋体" w:hAnsi="宋体" w:cs="宋体"/>
                <w:color w:val="auto"/>
                <w:sz w:val="24"/>
                <w:szCs w:val="24"/>
                <w:highlight w:val="none"/>
              </w:rPr>
            </w:pPr>
          </w:p>
        </w:tc>
      </w:tr>
      <w:tr w14:paraId="2068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097DA813">
            <w:pPr>
              <w:spacing w:line="500" w:lineRule="exact"/>
              <w:jc w:val="center"/>
              <w:textAlignment w:val="baseline"/>
              <w:rPr>
                <w:rFonts w:hint="eastAsia" w:ascii="宋体" w:hAnsi="宋体" w:cs="宋体"/>
                <w:color w:val="auto"/>
                <w:sz w:val="24"/>
                <w:szCs w:val="24"/>
                <w:highlight w:val="none"/>
              </w:rPr>
            </w:pPr>
          </w:p>
        </w:tc>
        <w:tc>
          <w:tcPr>
            <w:tcW w:w="1809" w:type="dxa"/>
            <w:tcBorders>
              <w:top w:val="single" w:color="auto" w:sz="4" w:space="0"/>
              <w:left w:val="nil"/>
              <w:bottom w:val="single" w:color="auto" w:sz="4" w:space="0"/>
              <w:right w:val="single" w:color="auto" w:sz="4" w:space="0"/>
            </w:tcBorders>
            <w:noWrap w:val="0"/>
            <w:vAlign w:val="center"/>
          </w:tcPr>
          <w:p w14:paraId="316675B7">
            <w:pPr>
              <w:spacing w:line="500" w:lineRule="exact"/>
              <w:jc w:val="center"/>
              <w:textAlignment w:val="baseline"/>
              <w:rPr>
                <w:rFonts w:hint="eastAsia" w:ascii="宋体" w:hAnsi="宋体" w:cs="宋体"/>
                <w:color w:val="auto"/>
                <w:sz w:val="24"/>
                <w:szCs w:val="24"/>
                <w:highlight w:val="none"/>
              </w:rPr>
            </w:pPr>
          </w:p>
        </w:tc>
        <w:tc>
          <w:tcPr>
            <w:tcW w:w="1744" w:type="dxa"/>
            <w:tcBorders>
              <w:top w:val="single" w:color="auto" w:sz="4" w:space="0"/>
              <w:left w:val="nil"/>
              <w:bottom w:val="single" w:color="auto" w:sz="4" w:space="0"/>
              <w:right w:val="single" w:color="auto" w:sz="4" w:space="0"/>
            </w:tcBorders>
            <w:noWrap w:val="0"/>
            <w:vAlign w:val="center"/>
          </w:tcPr>
          <w:p w14:paraId="3630995C">
            <w:pPr>
              <w:spacing w:line="500" w:lineRule="exact"/>
              <w:jc w:val="center"/>
              <w:textAlignment w:val="baseline"/>
              <w:rPr>
                <w:rFonts w:hint="eastAsia" w:ascii="宋体" w:hAnsi="宋体" w:cs="宋体"/>
                <w:color w:val="auto"/>
                <w:sz w:val="24"/>
                <w:szCs w:val="24"/>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5ACD6BB6">
            <w:pPr>
              <w:spacing w:line="500" w:lineRule="exact"/>
              <w:jc w:val="center"/>
              <w:textAlignment w:val="baseline"/>
              <w:rPr>
                <w:rFonts w:hint="eastAsia" w:ascii="宋体" w:hAnsi="宋体" w:cs="宋体"/>
                <w:color w:val="auto"/>
                <w:sz w:val="24"/>
                <w:szCs w:val="24"/>
                <w:highlight w:val="none"/>
              </w:rPr>
            </w:pPr>
          </w:p>
        </w:tc>
        <w:tc>
          <w:tcPr>
            <w:tcW w:w="2074" w:type="dxa"/>
            <w:tcBorders>
              <w:top w:val="single" w:color="auto" w:sz="4" w:space="0"/>
              <w:left w:val="nil"/>
              <w:bottom w:val="single" w:color="auto" w:sz="4" w:space="0"/>
              <w:right w:val="single" w:color="auto" w:sz="4" w:space="0"/>
            </w:tcBorders>
            <w:noWrap w:val="0"/>
            <w:vAlign w:val="center"/>
          </w:tcPr>
          <w:p w14:paraId="217A437B">
            <w:pPr>
              <w:spacing w:line="500" w:lineRule="exact"/>
              <w:jc w:val="center"/>
              <w:textAlignment w:val="baseline"/>
              <w:rPr>
                <w:rFonts w:hint="eastAsia" w:ascii="宋体" w:hAnsi="宋体" w:cs="宋体"/>
                <w:color w:val="auto"/>
                <w:sz w:val="24"/>
                <w:szCs w:val="24"/>
                <w:highlight w:val="none"/>
              </w:rPr>
            </w:pPr>
          </w:p>
        </w:tc>
        <w:tc>
          <w:tcPr>
            <w:tcW w:w="1347" w:type="dxa"/>
            <w:tcBorders>
              <w:top w:val="single" w:color="auto" w:sz="4" w:space="0"/>
              <w:left w:val="nil"/>
              <w:bottom w:val="single" w:color="auto" w:sz="4" w:space="0"/>
              <w:right w:val="single" w:color="auto" w:sz="4" w:space="0"/>
            </w:tcBorders>
            <w:noWrap w:val="0"/>
            <w:vAlign w:val="center"/>
          </w:tcPr>
          <w:p w14:paraId="353E5E5D">
            <w:pPr>
              <w:spacing w:line="500" w:lineRule="exact"/>
              <w:jc w:val="center"/>
              <w:textAlignment w:val="baseline"/>
              <w:rPr>
                <w:rFonts w:hint="eastAsia" w:ascii="宋体" w:hAnsi="宋体" w:cs="宋体"/>
                <w:color w:val="auto"/>
                <w:sz w:val="24"/>
                <w:szCs w:val="24"/>
                <w:highlight w:val="none"/>
              </w:rPr>
            </w:pPr>
          </w:p>
        </w:tc>
      </w:tr>
      <w:tr w14:paraId="58EC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0C8B7168">
            <w:pPr>
              <w:spacing w:line="500" w:lineRule="exact"/>
              <w:jc w:val="center"/>
              <w:textAlignment w:val="baseline"/>
              <w:rPr>
                <w:rFonts w:hint="eastAsia" w:ascii="宋体" w:hAnsi="宋体" w:cs="宋体"/>
                <w:color w:val="auto"/>
                <w:sz w:val="24"/>
                <w:szCs w:val="24"/>
                <w:highlight w:val="none"/>
              </w:rPr>
            </w:pPr>
          </w:p>
        </w:tc>
        <w:tc>
          <w:tcPr>
            <w:tcW w:w="1809" w:type="dxa"/>
            <w:tcBorders>
              <w:top w:val="single" w:color="auto" w:sz="4" w:space="0"/>
              <w:left w:val="nil"/>
              <w:bottom w:val="single" w:color="auto" w:sz="4" w:space="0"/>
              <w:right w:val="single" w:color="auto" w:sz="4" w:space="0"/>
            </w:tcBorders>
            <w:noWrap w:val="0"/>
            <w:vAlign w:val="center"/>
          </w:tcPr>
          <w:p w14:paraId="6EB21B8E">
            <w:pPr>
              <w:spacing w:line="500" w:lineRule="exact"/>
              <w:jc w:val="center"/>
              <w:textAlignment w:val="baseline"/>
              <w:rPr>
                <w:rFonts w:hint="eastAsia" w:ascii="宋体" w:hAnsi="宋体" w:cs="宋体"/>
                <w:color w:val="auto"/>
                <w:sz w:val="24"/>
                <w:szCs w:val="24"/>
                <w:highlight w:val="none"/>
              </w:rPr>
            </w:pPr>
          </w:p>
        </w:tc>
        <w:tc>
          <w:tcPr>
            <w:tcW w:w="1744" w:type="dxa"/>
            <w:tcBorders>
              <w:top w:val="single" w:color="auto" w:sz="4" w:space="0"/>
              <w:left w:val="nil"/>
              <w:bottom w:val="single" w:color="auto" w:sz="4" w:space="0"/>
              <w:right w:val="single" w:color="auto" w:sz="4" w:space="0"/>
            </w:tcBorders>
            <w:noWrap w:val="0"/>
            <w:vAlign w:val="center"/>
          </w:tcPr>
          <w:p w14:paraId="0437F77F">
            <w:pPr>
              <w:spacing w:line="500" w:lineRule="exact"/>
              <w:jc w:val="center"/>
              <w:textAlignment w:val="baseline"/>
              <w:rPr>
                <w:rFonts w:hint="eastAsia" w:ascii="宋体" w:hAnsi="宋体" w:cs="宋体"/>
                <w:color w:val="auto"/>
                <w:sz w:val="24"/>
                <w:szCs w:val="24"/>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52109BC0">
            <w:pPr>
              <w:spacing w:line="500" w:lineRule="exact"/>
              <w:jc w:val="center"/>
              <w:textAlignment w:val="baseline"/>
              <w:rPr>
                <w:rFonts w:hint="eastAsia" w:ascii="宋体" w:hAnsi="宋体" w:cs="宋体"/>
                <w:color w:val="auto"/>
                <w:sz w:val="24"/>
                <w:szCs w:val="24"/>
                <w:highlight w:val="none"/>
              </w:rPr>
            </w:pPr>
          </w:p>
        </w:tc>
        <w:tc>
          <w:tcPr>
            <w:tcW w:w="2074" w:type="dxa"/>
            <w:tcBorders>
              <w:top w:val="single" w:color="auto" w:sz="4" w:space="0"/>
              <w:left w:val="nil"/>
              <w:bottom w:val="single" w:color="auto" w:sz="4" w:space="0"/>
              <w:right w:val="single" w:color="auto" w:sz="4" w:space="0"/>
            </w:tcBorders>
            <w:noWrap w:val="0"/>
            <w:vAlign w:val="center"/>
          </w:tcPr>
          <w:p w14:paraId="5B1687CA">
            <w:pPr>
              <w:spacing w:line="500" w:lineRule="exact"/>
              <w:jc w:val="center"/>
              <w:textAlignment w:val="baseline"/>
              <w:rPr>
                <w:rFonts w:hint="eastAsia" w:ascii="宋体" w:hAnsi="宋体" w:cs="宋体"/>
                <w:color w:val="auto"/>
                <w:sz w:val="24"/>
                <w:szCs w:val="24"/>
                <w:highlight w:val="none"/>
              </w:rPr>
            </w:pPr>
          </w:p>
        </w:tc>
        <w:tc>
          <w:tcPr>
            <w:tcW w:w="1347" w:type="dxa"/>
            <w:tcBorders>
              <w:top w:val="single" w:color="auto" w:sz="4" w:space="0"/>
              <w:left w:val="nil"/>
              <w:bottom w:val="single" w:color="auto" w:sz="4" w:space="0"/>
              <w:right w:val="single" w:color="auto" w:sz="4" w:space="0"/>
            </w:tcBorders>
            <w:noWrap w:val="0"/>
            <w:vAlign w:val="center"/>
          </w:tcPr>
          <w:p w14:paraId="2B22A535">
            <w:pPr>
              <w:spacing w:line="500" w:lineRule="exact"/>
              <w:jc w:val="center"/>
              <w:textAlignment w:val="baseline"/>
              <w:rPr>
                <w:rFonts w:hint="eastAsia" w:ascii="宋体" w:hAnsi="宋体" w:cs="宋体"/>
                <w:color w:val="auto"/>
                <w:sz w:val="24"/>
                <w:szCs w:val="24"/>
                <w:highlight w:val="none"/>
              </w:rPr>
            </w:pPr>
          </w:p>
        </w:tc>
      </w:tr>
      <w:tr w14:paraId="7194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602A2492">
            <w:pPr>
              <w:spacing w:line="500" w:lineRule="exact"/>
              <w:jc w:val="center"/>
              <w:textAlignment w:val="baseline"/>
              <w:rPr>
                <w:rFonts w:hint="eastAsia" w:ascii="宋体" w:hAnsi="宋体" w:cs="宋体"/>
                <w:color w:val="auto"/>
                <w:sz w:val="24"/>
                <w:szCs w:val="24"/>
                <w:highlight w:val="none"/>
              </w:rPr>
            </w:pPr>
          </w:p>
        </w:tc>
        <w:tc>
          <w:tcPr>
            <w:tcW w:w="1809" w:type="dxa"/>
            <w:tcBorders>
              <w:top w:val="single" w:color="auto" w:sz="4" w:space="0"/>
              <w:left w:val="nil"/>
              <w:bottom w:val="single" w:color="auto" w:sz="4" w:space="0"/>
              <w:right w:val="single" w:color="auto" w:sz="4" w:space="0"/>
            </w:tcBorders>
            <w:noWrap w:val="0"/>
            <w:vAlign w:val="center"/>
          </w:tcPr>
          <w:p w14:paraId="45ED00BA">
            <w:pPr>
              <w:spacing w:line="500" w:lineRule="exact"/>
              <w:jc w:val="center"/>
              <w:textAlignment w:val="baseline"/>
              <w:rPr>
                <w:rFonts w:hint="eastAsia" w:ascii="宋体" w:hAnsi="宋体" w:cs="宋体"/>
                <w:color w:val="auto"/>
                <w:sz w:val="24"/>
                <w:szCs w:val="24"/>
                <w:highlight w:val="none"/>
              </w:rPr>
            </w:pPr>
          </w:p>
        </w:tc>
        <w:tc>
          <w:tcPr>
            <w:tcW w:w="1744" w:type="dxa"/>
            <w:tcBorders>
              <w:top w:val="single" w:color="auto" w:sz="4" w:space="0"/>
              <w:left w:val="nil"/>
              <w:bottom w:val="single" w:color="auto" w:sz="4" w:space="0"/>
              <w:right w:val="single" w:color="auto" w:sz="4" w:space="0"/>
            </w:tcBorders>
            <w:noWrap w:val="0"/>
            <w:vAlign w:val="center"/>
          </w:tcPr>
          <w:p w14:paraId="7C86495D">
            <w:pPr>
              <w:spacing w:line="500" w:lineRule="exact"/>
              <w:jc w:val="center"/>
              <w:textAlignment w:val="baseline"/>
              <w:rPr>
                <w:rFonts w:hint="eastAsia" w:ascii="宋体" w:hAnsi="宋体" w:cs="宋体"/>
                <w:color w:val="auto"/>
                <w:sz w:val="24"/>
                <w:szCs w:val="24"/>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0F289C20">
            <w:pPr>
              <w:spacing w:line="500" w:lineRule="exact"/>
              <w:jc w:val="center"/>
              <w:textAlignment w:val="baseline"/>
              <w:rPr>
                <w:rFonts w:hint="eastAsia" w:ascii="宋体" w:hAnsi="宋体" w:cs="宋体"/>
                <w:color w:val="auto"/>
                <w:sz w:val="24"/>
                <w:szCs w:val="24"/>
                <w:highlight w:val="none"/>
              </w:rPr>
            </w:pPr>
          </w:p>
        </w:tc>
        <w:tc>
          <w:tcPr>
            <w:tcW w:w="2074" w:type="dxa"/>
            <w:tcBorders>
              <w:top w:val="single" w:color="auto" w:sz="4" w:space="0"/>
              <w:left w:val="nil"/>
              <w:bottom w:val="single" w:color="auto" w:sz="4" w:space="0"/>
              <w:right w:val="single" w:color="auto" w:sz="4" w:space="0"/>
            </w:tcBorders>
            <w:noWrap w:val="0"/>
            <w:vAlign w:val="center"/>
          </w:tcPr>
          <w:p w14:paraId="6A5711B7">
            <w:pPr>
              <w:spacing w:line="500" w:lineRule="exact"/>
              <w:jc w:val="center"/>
              <w:textAlignment w:val="baseline"/>
              <w:rPr>
                <w:rFonts w:hint="eastAsia" w:ascii="宋体" w:hAnsi="宋体" w:cs="宋体"/>
                <w:color w:val="auto"/>
                <w:sz w:val="24"/>
                <w:szCs w:val="24"/>
                <w:highlight w:val="none"/>
              </w:rPr>
            </w:pPr>
          </w:p>
        </w:tc>
        <w:tc>
          <w:tcPr>
            <w:tcW w:w="1347" w:type="dxa"/>
            <w:tcBorders>
              <w:top w:val="single" w:color="auto" w:sz="4" w:space="0"/>
              <w:left w:val="nil"/>
              <w:bottom w:val="single" w:color="auto" w:sz="4" w:space="0"/>
              <w:right w:val="single" w:color="auto" w:sz="4" w:space="0"/>
            </w:tcBorders>
            <w:noWrap w:val="0"/>
            <w:vAlign w:val="center"/>
          </w:tcPr>
          <w:p w14:paraId="27E9B979">
            <w:pPr>
              <w:spacing w:line="500" w:lineRule="exact"/>
              <w:jc w:val="center"/>
              <w:textAlignment w:val="baseline"/>
              <w:rPr>
                <w:rFonts w:hint="eastAsia" w:ascii="宋体" w:hAnsi="宋体" w:cs="宋体"/>
                <w:color w:val="auto"/>
                <w:sz w:val="24"/>
                <w:szCs w:val="24"/>
                <w:highlight w:val="none"/>
              </w:rPr>
            </w:pPr>
          </w:p>
        </w:tc>
      </w:tr>
      <w:tr w14:paraId="1FF7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6C6E73DA">
            <w:pPr>
              <w:spacing w:line="500" w:lineRule="exact"/>
              <w:jc w:val="center"/>
              <w:textAlignment w:val="baseline"/>
              <w:rPr>
                <w:rFonts w:hint="eastAsia" w:ascii="宋体" w:hAnsi="宋体" w:cs="宋体"/>
                <w:color w:val="auto"/>
                <w:sz w:val="24"/>
                <w:szCs w:val="24"/>
                <w:highlight w:val="none"/>
              </w:rPr>
            </w:pPr>
          </w:p>
        </w:tc>
        <w:tc>
          <w:tcPr>
            <w:tcW w:w="1809" w:type="dxa"/>
            <w:tcBorders>
              <w:top w:val="single" w:color="auto" w:sz="4" w:space="0"/>
              <w:left w:val="nil"/>
              <w:bottom w:val="single" w:color="auto" w:sz="4" w:space="0"/>
              <w:right w:val="single" w:color="auto" w:sz="4" w:space="0"/>
            </w:tcBorders>
            <w:noWrap w:val="0"/>
            <w:vAlign w:val="center"/>
          </w:tcPr>
          <w:p w14:paraId="34EBC770">
            <w:pPr>
              <w:spacing w:line="500" w:lineRule="exact"/>
              <w:jc w:val="center"/>
              <w:textAlignment w:val="baseline"/>
              <w:rPr>
                <w:rFonts w:hint="eastAsia" w:ascii="宋体" w:hAnsi="宋体" w:cs="宋体"/>
                <w:color w:val="auto"/>
                <w:sz w:val="24"/>
                <w:szCs w:val="24"/>
                <w:highlight w:val="none"/>
              </w:rPr>
            </w:pPr>
          </w:p>
        </w:tc>
        <w:tc>
          <w:tcPr>
            <w:tcW w:w="1744" w:type="dxa"/>
            <w:tcBorders>
              <w:top w:val="single" w:color="auto" w:sz="4" w:space="0"/>
              <w:left w:val="nil"/>
              <w:bottom w:val="single" w:color="auto" w:sz="4" w:space="0"/>
              <w:right w:val="single" w:color="auto" w:sz="4" w:space="0"/>
            </w:tcBorders>
            <w:noWrap w:val="0"/>
            <w:vAlign w:val="center"/>
          </w:tcPr>
          <w:p w14:paraId="3F69D335">
            <w:pPr>
              <w:spacing w:line="500" w:lineRule="exact"/>
              <w:jc w:val="center"/>
              <w:textAlignment w:val="baseline"/>
              <w:rPr>
                <w:rFonts w:hint="eastAsia" w:ascii="宋体" w:hAnsi="宋体" w:cs="宋体"/>
                <w:color w:val="auto"/>
                <w:sz w:val="24"/>
                <w:szCs w:val="24"/>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7BD55BDC">
            <w:pPr>
              <w:spacing w:line="500" w:lineRule="exact"/>
              <w:jc w:val="center"/>
              <w:textAlignment w:val="baseline"/>
              <w:rPr>
                <w:rFonts w:hint="eastAsia" w:ascii="宋体" w:hAnsi="宋体" w:cs="宋体"/>
                <w:color w:val="auto"/>
                <w:sz w:val="24"/>
                <w:szCs w:val="24"/>
                <w:highlight w:val="none"/>
              </w:rPr>
            </w:pPr>
          </w:p>
        </w:tc>
        <w:tc>
          <w:tcPr>
            <w:tcW w:w="2074" w:type="dxa"/>
            <w:tcBorders>
              <w:top w:val="single" w:color="auto" w:sz="4" w:space="0"/>
              <w:left w:val="nil"/>
              <w:bottom w:val="single" w:color="auto" w:sz="4" w:space="0"/>
              <w:right w:val="single" w:color="auto" w:sz="4" w:space="0"/>
            </w:tcBorders>
            <w:noWrap w:val="0"/>
            <w:vAlign w:val="center"/>
          </w:tcPr>
          <w:p w14:paraId="6DC9F6EE">
            <w:pPr>
              <w:spacing w:line="500" w:lineRule="exact"/>
              <w:jc w:val="center"/>
              <w:textAlignment w:val="baseline"/>
              <w:rPr>
                <w:rFonts w:hint="eastAsia" w:ascii="宋体" w:hAnsi="宋体" w:cs="宋体"/>
                <w:color w:val="auto"/>
                <w:sz w:val="24"/>
                <w:szCs w:val="24"/>
                <w:highlight w:val="none"/>
              </w:rPr>
            </w:pPr>
          </w:p>
        </w:tc>
        <w:tc>
          <w:tcPr>
            <w:tcW w:w="1347" w:type="dxa"/>
            <w:tcBorders>
              <w:top w:val="single" w:color="auto" w:sz="4" w:space="0"/>
              <w:left w:val="nil"/>
              <w:bottom w:val="single" w:color="auto" w:sz="4" w:space="0"/>
              <w:right w:val="single" w:color="auto" w:sz="4" w:space="0"/>
            </w:tcBorders>
            <w:noWrap w:val="0"/>
            <w:vAlign w:val="center"/>
          </w:tcPr>
          <w:p w14:paraId="789BD132">
            <w:pPr>
              <w:spacing w:line="500" w:lineRule="exact"/>
              <w:jc w:val="center"/>
              <w:textAlignment w:val="baseline"/>
              <w:rPr>
                <w:rFonts w:hint="eastAsia" w:ascii="宋体" w:hAnsi="宋体" w:cs="宋体"/>
                <w:color w:val="auto"/>
                <w:sz w:val="24"/>
                <w:szCs w:val="24"/>
                <w:highlight w:val="none"/>
              </w:rPr>
            </w:pPr>
          </w:p>
        </w:tc>
      </w:tr>
      <w:tr w14:paraId="4328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4348CCB3">
            <w:pPr>
              <w:spacing w:line="500" w:lineRule="exact"/>
              <w:jc w:val="center"/>
              <w:textAlignment w:val="baseline"/>
              <w:rPr>
                <w:rFonts w:hint="eastAsia" w:ascii="宋体" w:hAnsi="宋体" w:cs="宋体"/>
                <w:color w:val="auto"/>
                <w:sz w:val="24"/>
                <w:szCs w:val="24"/>
                <w:highlight w:val="none"/>
              </w:rPr>
            </w:pPr>
          </w:p>
        </w:tc>
        <w:tc>
          <w:tcPr>
            <w:tcW w:w="1809" w:type="dxa"/>
            <w:tcBorders>
              <w:top w:val="single" w:color="auto" w:sz="4" w:space="0"/>
              <w:left w:val="nil"/>
              <w:bottom w:val="single" w:color="auto" w:sz="4" w:space="0"/>
              <w:right w:val="single" w:color="auto" w:sz="4" w:space="0"/>
            </w:tcBorders>
            <w:noWrap w:val="0"/>
            <w:vAlign w:val="center"/>
          </w:tcPr>
          <w:p w14:paraId="683E48BE">
            <w:pPr>
              <w:spacing w:line="500" w:lineRule="exact"/>
              <w:jc w:val="center"/>
              <w:textAlignment w:val="baseline"/>
              <w:rPr>
                <w:rFonts w:hint="eastAsia" w:ascii="宋体" w:hAnsi="宋体" w:cs="宋体"/>
                <w:color w:val="auto"/>
                <w:sz w:val="24"/>
                <w:szCs w:val="24"/>
                <w:highlight w:val="none"/>
              </w:rPr>
            </w:pPr>
          </w:p>
        </w:tc>
        <w:tc>
          <w:tcPr>
            <w:tcW w:w="1744" w:type="dxa"/>
            <w:tcBorders>
              <w:top w:val="single" w:color="auto" w:sz="4" w:space="0"/>
              <w:left w:val="nil"/>
              <w:bottom w:val="single" w:color="auto" w:sz="4" w:space="0"/>
              <w:right w:val="single" w:color="auto" w:sz="4" w:space="0"/>
            </w:tcBorders>
            <w:noWrap w:val="0"/>
            <w:vAlign w:val="center"/>
          </w:tcPr>
          <w:p w14:paraId="08BBCF4F">
            <w:pPr>
              <w:spacing w:line="500" w:lineRule="exact"/>
              <w:jc w:val="center"/>
              <w:textAlignment w:val="baseline"/>
              <w:rPr>
                <w:rFonts w:hint="eastAsia" w:ascii="宋体" w:hAnsi="宋体" w:cs="宋体"/>
                <w:color w:val="auto"/>
                <w:sz w:val="24"/>
                <w:szCs w:val="24"/>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07D6A702">
            <w:pPr>
              <w:spacing w:line="500" w:lineRule="exact"/>
              <w:jc w:val="center"/>
              <w:textAlignment w:val="baseline"/>
              <w:rPr>
                <w:rFonts w:hint="eastAsia" w:ascii="宋体" w:hAnsi="宋体" w:cs="宋体"/>
                <w:color w:val="auto"/>
                <w:sz w:val="24"/>
                <w:szCs w:val="24"/>
                <w:highlight w:val="none"/>
              </w:rPr>
            </w:pPr>
          </w:p>
        </w:tc>
        <w:tc>
          <w:tcPr>
            <w:tcW w:w="2074" w:type="dxa"/>
            <w:tcBorders>
              <w:top w:val="single" w:color="auto" w:sz="4" w:space="0"/>
              <w:left w:val="nil"/>
              <w:bottom w:val="single" w:color="auto" w:sz="4" w:space="0"/>
              <w:right w:val="single" w:color="auto" w:sz="4" w:space="0"/>
            </w:tcBorders>
            <w:noWrap w:val="0"/>
            <w:vAlign w:val="center"/>
          </w:tcPr>
          <w:p w14:paraId="36A23C13">
            <w:pPr>
              <w:spacing w:line="500" w:lineRule="exact"/>
              <w:jc w:val="center"/>
              <w:textAlignment w:val="baseline"/>
              <w:rPr>
                <w:rFonts w:hint="eastAsia" w:ascii="宋体" w:hAnsi="宋体" w:cs="宋体"/>
                <w:color w:val="auto"/>
                <w:sz w:val="24"/>
                <w:szCs w:val="24"/>
                <w:highlight w:val="none"/>
              </w:rPr>
            </w:pPr>
          </w:p>
        </w:tc>
        <w:tc>
          <w:tcPr>
            <w:tcW w:w="1347" w:type="dxa"/>
            <w:tcBorders>
              <w:top w:val="single" w:color="auto" w:sz="4" w:space="0"/>
              <w:left w:val="nil"/>
              <w:bottom w:val="single" w:color="auto" w:sz="4" w:space="0"/>
              <w:right w:val="single" w:color="auto" w:sz="4" w:space="0"/>
            </w:tcBorders>
            <w:noWrap w:val="0"/>
            <w:vAlign w:val="center"/>
          </w:tcPr>
          <w:p w14:paraId="2BCE041F">
            <w:pPr>
              <w:spacing w:line="500" w:lineRule="exact"/>
              <w:jc w:val="center"/>
              <w:textAlignment w:val="baseline"/>
              <w:rPr>
                <w:rFonts w:hint="eastAsia" w:ascii="宋体" w:hAnsi="宋体" w:cs="宋体"/>
                <w:color w:val="auto"/>
                <w:sz w:val="24"/>
                <w:szCs w:val="24"/>
                <w:highlight w:val="none"/>
              </w:rPr>
            </w:pPr>
          </w:p>
        </w:tc>
      </w:tr>
    </w:tbl>
    <w:p w14:paraId="6431ABC1">
      <w:pPr>
        <w:spacing w:line="360" w:lineRule="auto"/>
        <w:rPr>
          <w:rFonts w:hint="eastAsia" w:ascii="宋体" w:hAnsi="宋体" w:cs="宋体"/>
          <w:b/>
          <w:color w:val="auto"/>
          <w:sz w:val="22"/>
          <w:szCs w:val="22"/>
          <w:highlight w:val="none"/>
        </w:rPr>
      </w:pPr>
    </w:p>
    <w:p w14:paraId="66AB96C1">
      <w:pPr>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附:相关人员证明材料。</w:t>
      </w:r>
    </w:p>
    <w:p w14:paraId="14F9F72E">
      <w:pPr>
        <w:spacing w:line="360" w:lineRule="auto"/>
        <w:ind w:firstLine="3840" w:firstLineChars="1600"/>
        <w:rPr>
          <w:rFonts w:hint="eastAsia" w:ascii="宋体" w:hAnsi="宋体" w:cs="宋体"/>
          <w:color w:val="auto"/>
          <w:sz w:val="24"/>
          <w:szCs w:val="24"/>
          <w:highlight w:val="none"/>
        </w:rPr>
      </w:pPr>
    </w:p>
    <w:p w14:paraId="7DC0C416">
      <w:pPr>
        <w:spacing w:line="360" w:lineRule="auto"/>
        <w:ind w:firstLine="3840" w:firstLineChars="16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投标人名称（电子签章）：</w:t>
      </w:r>
    </w:p>
    <w:p w14:paraId="6AB866BD">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法定代表人或授权代表（电子签章）：</w:t>
      </w:r>
    </w:p>
    <w:p w14:paraId="2E5AC948">
      <w:pPr>
        <w:bidi w:val="0"/>
        <w:ind w:firstLine="2730" w:firstLineChars="1300"/>
        <w:rPr>
          <w:rFonts w:hint="eastAsia"/>
          <w:sz w:val="24"/>
          <w:szCs w:val="24"/>
        </w:rPr>
      </w:pPr>
      <w:r>
        <w:rPr>
          <w:rFonts w:hint="eastAsia"/>
        </w:rPr>
        <w:t xml:space="preserve">          </w:t>
      </w:r>
      <w:r>
        <w:rPr>
          <w:rFonts w:hint="eastAsia"/>
          <w:sz w:val="24"/>
          <w:szCs w:val="24"/>
        </w:rPr>
        <w:t>日     期：     年   月   日</w:t>
      </w:r>
    </w:p>
    <w:p w14:paraId="484AD1C6">
      <w:pPr>
        <w:bidi w:val="0"/>
        <w:rPr>
          <w:rFonts w:hint="eastAsia"/>
        </w:rPr>
      </w:pPr>
    </w:p>
    <w:p w14:paraId="5DE61E05">
      <w:pPr>
        <w:bidi w:val="0"/>
        <w:rPr>
          <w:rFonts w:hint="eastAsia"/>
        </w:rPr>
      </w:pPr>
    </w:p>
    <w:p w14:paraId="76CE9686">
      <w:pPr>
        <w:pStyle w:val="4"/>
        <w:numPr>
          <w:ilvl w:val="0"/>
          <w:numId w:val="0"/>
        </w:numPr>
        <w:spacing w:line="360" w:lineRule="auto"/>
        <w:ind w:left="540"/>
        <w:jc w:val="center"/>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eastAsia="zh-CN"/>
        </w:rPr>
        <w:t>七、</w:t>
      </w:r>
      <w:r>
        <w:rPr>
          <w:rStyle w:val="34"/>
          <w:rFonts w:hint="eastAsia" w:ascii="宋体" w:hAnsi="宋体" w:cs="宋体"/>
          <w:color w:val="auto"/>
          <w:sz w:val="40"/>
          <w:szCs w:val="48"/>
          <w:highlight w:val="none"/>
          <w:lang w:eastAsia="zh-CN"/>
        </w:rPr>
        <w:t>投标人基本情况表</w:t>
      </w:r>
    </w:p>
    <w:p w14:paraId="70E63F44">
      <w:pPr>
        <w:pStyle w:val="19"/>
        <w:widowControl/>
        <w:spacing w:line="360" w:lineRule="auto"/>
        <w:jc w:val="center"/>
        <w:textAlignment w:val="baseline"/>
        <w:rPr>
          <w:rFonts w:hint="eastAsia" w:ascii="宋体" w:hAnsi="宋体" w:cs="宋体"/>
          <w:b/>
          <w:bCs/>
          <w:color w:val="auto"/>
          <w:sz w:val="32"/>
          <w:szCs w:val="32"/>
          <w:highlight w:val="none"/>
          <w:shd w:val="clear" w:color="auto" w:fill="FFFFFF"/>
        </w:rPr>
      </w:pPr>
      <w:r>
        <w:rPr>
          <w:rFonts w:hint="eastAsia" w:ascii="宋体" w:hAnsi="宋体" w:cs="宋体"/>
          <w:b/>
          <w:bCs/>
          <w:color w:val="auto"/>
          <w:sz w:val="32"/>
          <w:szCs w:val="32"/>
          <w:highlight w:val="none"/>
          <w:shd w:val="clear" w:color="auto" w:fill="FFFFFF"/>
        </w:rPr>
        <w:t>（格式自拟）</w:t>
      </w:r>
    </w:p>
    <w:p w14:paraId="323D4A6C">
      <w:pPr>
        <w:pStyle w:val="19"/>
        <w:widowControl/>
        <w:spacing w:line="360" w:lineRule="auto"/>
        <w:jc w:val="center"/>
        <w:textAlignment w:val="baseline"/>
        <w:rPr>
          <w:rFonts w:hint="eastAsia" w:ascii="宋体" w:hAnsi="宋体" w:cs="宋体"/>
          <w:b/>
          <w:bCs/>
          <w:color w:val="auto"/>
          <w:sz w:val="32"/>
          <w:szCs w:val="32"/>
          <w:highlight w:val="none"/>
          <w:shd w:val="clear" w:color="auto" w:fill="FFFFFF"/>
        </w:rPr>
      </w:pPr>
      <w:r>
        <w:rPr>
          <w:rFonts w:hint="eastAsia" w:ascii="宋体" w:hAnsi="宋体" w:cs="宋体"/>
          <w:b/>
          <w:bCs/>
          <w:color w:val="auto"/>
          <w:sz w:val="32"/>
          <w:szCs w:val="32"/>
          <w:highlight w:val="none"/>
          <w:shd w:val="clear" w:color="auto" w:fill="FFFFFF"/>
        </w:rPr>
        <w:t xml:space="preserve"> </w:t>
      </w:r>
    </w:p>
    <w:p w14:paraId="28BF065A">
      <w:pPr>
        <w:pStyle w:val="19"/>
        <w:widowControl/>
        <w:spacing w:line="360" w:lineRule="auto"/>
        <w:ind w:left="406"/>
        <w:jc w:val="both"/>
        <w:textAlignment w:val="baseline"/>
        <w:rPr>
          <w:rFonts w:hint="eastAsia" w:ascii="宋体" w:hAnsi="宋体" w:cs="宋体"/>
          <w:color w:val="auto"/>
          <w:highlight w:val="none"/>
          <w:shd w:val="clear" w:color="auto" w:fill="FFFFFF"/>
        </w:rPr>
      </w:pPr>
    </w:p>
    <w:p w14:paraId="299B7EBB">
      <w:pPr>
        <w:spacing w:line="360" w:lineRule="auto"/>
        <w:ind w:firstLine="3840" w:firstLineChars="1600"/>
        <w:rPr>
          <w:rFonts w:hint="eastAsia" w:ascii="宋体" w:hAnsi="宋体" w:cs="宋体"/>
          <w:color w:val="auto"/>
          <w:sz w:val="24"/>
          <w:szCs w:val="24"/>
          <w:highlight w:val="none"/>
        </w:rPr>
      </w:pPr>
    </w:p>
    <w:p w14:paraId="3BD0441D">
      <w:pPr>
        <w:pStyle w:val="4"/>
        <w:numPr>
          <w:ilvl w:val="0"/>
          <w:numId w:val="0"/>
        </w:numPr>
        <w:spacing w:line="360" w:lineRule="auto"/>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lang w:eastAsia="zh-CN"/>
        </w:rPr>
        <w:br w:type="page"/>
      </w:r>
      <w:bookmarkEnd w:id="584"/>
      <w:bookmarkEnd w:id="585"/>
      <w:r>
        <w:rPr>
          <w:rFonts w:hint="eastAsia" w:ascii="宋体" w:hAnsi="宋体" w:eastAsia="宋体" w:cs="宋体"/>
          <w:b/>
          <w:bCs/>
          <w:color w:val="auto"/>
          <w:sz w:val="40"/>
          <w:szCs w:val="40"/>
          <w:highlight w:val="none"/>
          <w:lang w:eastAsia="zh-CN"/>
        </w:rPr>
        <w:t>八、</w:t>
      </w:r>
      <w:r>
        <w:rPr>
          <w:rFonts w:hint="eastAsia" w:ascii="宋体" w:hAnsi="宋体" w:eastAsia="宋体" w:cs="宋体"/>
          <w:b/>
          <w:bCs/>
          <w:color w:val="auto"/>
          <w:sz w:val="40"/>
          <w:szCs w:val="40"/>
          <w:highlight w:val="none"/>
          <w:shd w:val="clear" w:color="auto" w:fill="FFFFFF"/>
        </w:rPr>
        <w:t>投标企业实力状况</w:t>
      </w:r>
    </w:p>
    <w:bookmarkEnd w:id="586"/>
    <w:bookmarkEnd w:id="587"/>
    <w:p w14:paraId="17E8CD3C">
      <w:pPr>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lang w:val="en-US" w:eastAsia="zh-CN"/>
        </w:rPr>
        <w:br w:type="page"/>
      </w:r>
    </w:p>
    <w:p w14:paraId="7D1E1DD0">
      <w:pPr>
        <w:pStyle w:val="4"/>
        <w:numPr>
          <w:ilvl w:val="0"/>
          <w:numId w:val="0"/>
        </w:numPr>
        <w:spacing w:line="360" w:lineRule="auto"/>
        <w:jc w:val="center"/>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lang w:val="en-US" w:eastAsia="zh-CN"/>
        </w:rPr>
        <w:t>九、项目服务技术方案</w:t>
      </w:r>
    </w:p>
    <w:p w14:paraId="50538D30">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（格式自拟）</w:t>
      </w:r>
    </w:p>
    <w:p w14:paraId="0757BB3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DE6AB52">
      <w:pPr>
        <w:pStyle w:val="4"/>
        <w:numPr>
          <w:ilvl w:val="1"/>
          <w:numId w:val="0"/>
        </w:numPr>
        <w:bidi w:val="0"/>
        <w:ind w:left="540" w:leftChars="0"/>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lang w:val="en-US" w:eastAsia="zh-CN"/>
        </w:rPr>
        <w:t>十、投标单位认为应该提供的其他材料</w:t>
      </w:r>
    </w:p>
    <w:p w14:paraId="3FED5A8B">
      <w:pPr>
        <w:pStyle w:val="33"/>
        <w:spacing w:line="360" w:lineRule="auto"/>
        <w:ind w:firstLine="0"/>
        <w:jc w:val="left"/>
        <w:rPr>
          <w:rFonts w:hint="eastAsia" w:ascii="宋体" w:hAnsi="宋体" w:eastAsia="宋体" w:cs="宋体"/>
          <w:color w:val="auto"/>
          <w:highlight w:val="none"/>
        </w:rPr>
      </w:pPr>
    </w:p>
    <w:p w14:paraId="07C16647">
      <w:pPr>
        <w:pStyle w:val="4"/>
        <w:numPr>
          <w:numId w:val="0"/>
        </w:numPr>
        <w:bidi w:val="0"/>
        <w:jc w:val="center"/>
        <w:rPr>
          <w:rFonts w:hint="eastAsia" w:ascii="宋体" w:hAnsi="宋体" w:cs="宋体"/>
          <w:b/>
          <w:bCs/>
          <w:color w:val="auto"/>
          <w:sz w:val="40"/>
          <w:szCs w:val="40"/>
          <w:highlight w:val="none"/>
        </w:rPr>
      </w:pPr>
      <w:r>
        <w:rPr>
          <w:rFonts w:hint="eastAsia" w:ascii="宋体" w:hAnsi="宋体" w:cs="宋体"/>
          <w:color w:val="auto"/>
          <w:highlight w:val="none"/>
        </w:rPr>
        <w:br w:type="page"/>
      </w:r>
      <w:r>
        <w:rPr>
          <w:rFonts w:hint="eastAsia" w:ascii="宋体" w:hAnsi="宋体" w:cs="宋体"/>
          <w:b/>
          <w:bCs/>
          <w:color w:val="auto"/>
          <w:sz w:val="40"/>
          <w:szCs w:val="40"/>
          <w:highlight w:val="none"/>
        </w:rPr>
        <w:t>十一、反商业贿赂承诺书</w:t>
      </w:r>
    </w:p>
    <w:p w14:paraId="1AD0E40F">
      <w:pPr>
        <w:spacing w:line="480" w:lineRule="auto"/>
        <w:rPr>
          <w:rFonts w:hint="eastAsia" w:ascii="宋体" w:hAnsi="宋体" w:cs="宋体"/>
          <w:color w:val="auto"/>
          <w:sz w:val="24"/>
          <w:szCs w:val="24"/>
          <w:highlight w:val="none"/>
        </w:rPr>
      </w:pPr>
    </w:p>
    <w:p w14:paraId="7B75EF01">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我公司承诺：</w:t>
      </w:r>
    </w:p>
    <w:p w14:paraId="44D8ADFA">
      <w:pPr>
        <w:widowControl/>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u w:val="single"/>
        </w:rPr>
        <w:t xml:space="preserve">               （项目名称）</w:t>
      </w:r>
      <w:r>
        <w:rPr>
          <w:rFonts w:hint="eastAsia" w:ascii="宋体" w:hAnsi="宋体" w:cs="宋体"/>
          <w:color w:val="auto"/>
          <w:sz w:val="24"/>
          <w:szCs w:val="24"/>
          <w:highlight w:val="none"/>
        </w:rPr>
        <w:t>招标投标活动中，我公司保证做到：</w:t>
      </w:r>
    </w:p>
    <w:p w14:paraId="7FF2EBAB">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一、公平竞争参加本次活动。</w:t>
      </w:r>
    </w:p>
    <w:p w14:paraId="3A28C7AB">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杜绝任何形式的商业贿赂行为。不向国家工作人员、采购代理机构工作人员、评审专家及其亲属提供礼品礼金、有价证券、购物券、回扣、佣金、咨询费、劳务费、赞助费、宣传费、宴请；不为其报销各种报销凭证，不支付其旅游、娱乐等费用。</w:t>
      </w:r>
    </w:p>
    <w:p w14:paraId="4D48B60E">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三、若出现上述行为，我单位及参与投标的工作人员愿意接受按照国家法律法规等有关规定给予的处罚。</w:t>
      </w:r>
    </w:p>
    <w:p w14:paraId="1332B00B">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E2A37D">
      <w:pPr>
        <w:spacing w:line="48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投标人：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(电子签章)</w:t>
      </w:r>
    </w:p>
    <w:p w14:paraId="2F53E1F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（签字并盖章）</w:t>
      </w:r>
    </w:p>
    <w:p w14:paraId="4BB523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日     期：      年    月    日</w:t>
      </w:r>
    </w:p>
    <w:p w14:paraId="75D5A4BA">
      <w:pPr>
        <w:pStyle w:val="4"/>
        <w:numPr>
          <w:numId w:val="0"/>
        </w:numPr>
        <w:bidi w:val="0"/>
        <w:jc w:val="center"/>
        <w:rPr>
          <w:rFonts w:hint="eastAsia" w:ascii="宋体" w:hAnsi="宋体" w:eastAsia="宋体" w:cs="宋体"/>
          <w:b/>
          <w:bCs/>
          <w:color w:val="auto"/>
          <w:sz w:val="40"/>
          <w:szCs w:val="40"/>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40"/>
          <w:szCs w:val="40"/>
          <w:highlight w:val="none"/>
        </w:rPr>
        <w:t>十二、享受政府采购政策扶持的证明材料</w:t>
      </w:r>
    </w:p>
    <w:p w14:paraId="43D947D9">
      <w:pPr>
        <w:pStyle w:val="33"/>
        <w:tabs>
          <w:tab w:val="left" w:pos="2610"/>
          <w:tab w:val="center" w:pos="4621"/>
        </w:tabs>
        <w:spacing w:line="360" w:lineRule="auto"/>
        <w:ind w:firstLine="0"/>
        <w:jc w:val="center"/>
        <w:rPr>
          <w:rFonts w:hint="eastAsia" w:ascii="宋体" w:hAnsi="宋体" w:eastAsia="宋体" w:cs="宋体"/>
          <w:b/>
          <w:bCs/>
          <w:color w:val="auto"/>
          <w:sz w:val="24"/>
          <w:szCs w:val="24"/>
          <w:highlight w:val="none"/>
        </w:rPr>
      </w:pPr>
    </w:p>
    <w:p w14:paraId="43819056">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1、中小企业声明函</w:t>
      </w:r>
    </w:p>
    <w:p w14:paraId="2AC51A76">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cs="宋体"/>
          <w:color w:val="auto"/>
          <w:kern w:val="0"/>
          <w:sz w:val="24"/>
          <w:szCs w:val="24"/>
          <w:highlight w:val="none"/>
          <w:u w:val="single"/>
        </w:rPr>
        <w:t xml:space="preserve">   （单位名称）        </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rPr>
        <w:t xml:space="preserve">   （项目名称）        </w:t>
      </w:r>
      <w:r>
        <w:rPr>
          <w:rFonts w:hint="eastAsia" w:ascii="宋体" w:hAnsi="宋体" w:cs="宋体"/>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78EE70B">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  </w:t>
      </w:r>
      <w:r>
        <w:rPr>
          <w:rFonts w:hint="eastAsia" w:ascii="宋体" w:hAnsi="宋体" w:cs="宋体"/>
          <w:color w:val="auto"/>
          <w:kern w:val="0"/>
          <w:sz w:val="24"/>
          <w:szCs w:val="24"/>
          <w:highlight w:val="none"/>
          <w:u w:val="single"/>
        </w:rPr>
        <w:t xml:space="preserve"> （标的名称）      </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 xml:space="preserve">   （采购文件中明确的所属行业）   </w:t>
      </w:r>
      <w:r>
        <w:rPr>
          <w:rFonts w:hint="eastAsia" w:ascii="宋体" w:hAnsi="宋体" w:cs="宋体"/>
          <w:color w:val="auto"/>
          <w:kern w:val="0"/>
          <w:sz w:val="24"/>
          <w:szCs w:val="24"/>
          <w:highlight w:val="none"/>
        </w:rPr>
        <w:t>；承建（承接）企业为</w:t>
      </w:r>
      <w:r>
        <w:rPr>
          <w:rFonts w:hint="eastAsia" w:ascii="宋体" w:hAnsi="宋体" w:cs="宋体"/>
          <w:color w:val="auto"/>
          <w:kern w:val="0"/>
          <w:sz w:val="24"/>
          <w:szCs w:val="24"/>
          <w:highlight w:val="none"/>
          <w:u w:val="single"/>
        </w:rPr>
        <w:t xml:space="preserve">   （企业名称）</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人，营业收入为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万元¹，属于</w:t>
      </w:r>
      <w:r>
        <w:rPr>
          <w:rFonts w:hint="eastAsia" w:ascii="宋体" w:hAnsi="宋体" w:cs="宋体"/>
          <w:color w:val="auto"/>
          <w:kern w:val="0"/>
          <w:sz w:val="24"/>
          <w:szCs w:val="24"/>
          <w:highlight w:val="none"/>
          <w:u w:val="single"/>
        </w:rPr>
        <w:t xml:space="preserve">   （中型企业、小型企业、微型企业）    </w:t>
      </w:r>
      <w:r>
        <w:rPr>
          <w:rFonts w:hint="eastAsia" w:ascii="宋体" w:hAnsi="宋体" w:cs="宋体"/>
          <w:color w:val="auto"/>
          <w:kern w:val="0"/>
          <w:sz w:val="24"/>
          <w:szCs w:val="24"/>
          <w:highlight w:val="none"/>
        </w:rPr>
        <w:t>；</w:t>
      </w:r>
    </w:p>
    <w:p w14:paraId="438E52B4">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u w:val="single"/>
        </w:rPr>
        <w:t xml:space="preserve">（标的名称）      </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 xml:space="preserve">   （采购文件中明确的所属行业）   </w:t>
      </w:r>
      <w:r>
        <w:rPr>
          <w:rFonts w:hint="eastAsia" w:ascii="宋体" w:hAnsi="宋体" w:cs="宋体"/>
          <w:color w:val="auto"/>
          <w:kern w:val="0"/>
          <w:sz w:val="24"/>
          <w:szCs w:val="24"/>
          <w:highlight w:val="none"/>
        </w:rPr>
        <w:t>；承建（承接）企业为</w:t>
      </w:r>
      <w:r>
        <w:rPr>
          <w:rFonts w:hint="eastAsia" w:ascii="宋体" w:hAnsi="宋体" w:cs="宋体"/>
          <w:color w:val="auto"/>
          <w:kern w:val="0"/>
          <w:sz w:val="24"/>
          <w:szCs w:val="24"/>
          <w:highlight w:val="none"/>
          <w:u w:val="single"/>
        </w:rPr>
        <w:t xml:space="preserve">   （企业名称）</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人，营业收入为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万元，属于</w:t>
      </w:r>
      <w:r>
        <w:rPr>
          <w:rFonts w:hint="eastAsia" w:ascii="宋体" w:hAnsi="宋体" w:cs="宋体"/>
          <w:color w:val="auto"/>
          <w:kern w:val="0"/>
          <w:sz w:val="24"/>
          <w:szCs w:val="24"/>
          <w:highlight w:val="none"/>
          <w:u w:val="single"/>
        </w:rPr>
        <w:t xml:space="preserve">            （中型企业、小型企业、微型企业）    </w:t>
      </w:r>
      <w:r>
        <w:rPr>
          <w:rFonts w:hint="eastAsia" w:ascii="宋体" w:hAnsi="宋体" w:cs="宋体"/>
          <w:color w:val="auto"/>
          <w:kern w:val="0"/>
          <w:sz w:val="24"/>
          <w:szCs w:val="24"/>
          <w:highlight w:val="none"/>
        </w:rPr>
        <w:t>；</w:t>
      </w:r>
    </w:p>
    <w:p w14:paraId="011FEF4A">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p w14:paraId="08811F65">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w:t>
      </w:r>
    </w:p>
    <w:p w14:paraId="3C8CC1CC">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本企业对上述声明内容的真实性负责。如有虚报，将依法承担相应责任。</w:t>
      </w:r>
    </w:p>
    <w:p w14:paraId="2EF8034B">
      <w:pPr>
        <w:spacing w:line="360" w:lineRule="auto"/>
        <w:jc w:val="left"/>
        <w:rPr>
          <w:rFonts w:hint="eastAsia" w:ascii="宋体" w:hAnsi="宋体" w:cs="宋体"/>
          <w:color w:val="auto"/>
          <w:kern w:val="0"/>
          <w:sz w:val="24"/>
          <w:szCs w:val="24"/>
          <w:highlight w:val="none"/>
        </w:rPr>
      </w:pPr>
    </w:p>
    <w:p w14:paraId="64C0468C">
      <w:pPr>
        <w:spacing w:line="360" w:lineRule="auto"/>
        <w:ind w:firstLine="3840" w:firstLineChars="16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单位名称（盖单位章）：</w:t>
      </w:r>
    </w:p>
    <w:p w14:paraId="127944A9">
      <w:pPr>
        <w:spacing w:line="360" w:lineRule="auto"/>
        <w:ind w:firstLine="3840" w:firstLineChars="16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w:t>
      </w:r>
    </w:p>
    <w:p w14:paraId="2A62E688">
      <w:pPr>
        <w:spacing w:line="360" w:lineRule="auto"/>
        <w:jc w:val="left"/>
        <w:rPr>
          <w:rFonts w:hint="eastAsia" w:ascii="宋体" w:hAnsi="宋体" w:cs="宋体"/>
          <w:color w:val="auto"/>
          <w:kern w:val="0"/>
          <w:sz w:val="24"/>
          <w:szCs w:val="24"/>
          <w:highlight w:val="none"/>
        </w:rPr>
      </w:pPr>
    </w:p>
    <w:p w14:paraId="1B686522">
      <w:pPr>
        <w:spacing w:line="360" w:lineRule="auto"/>
        <w:jc w:val="left"/>
        <w:rPr>
          <w:rFonts w:hint="eastAsia" w:ascii="宋体" w:hAnsi="宋体" w:cs="宋体"/>
          <w:color w:val="auto"/>
          <w:kern w:val="0"/>
          <w:sz w:val="24"/>
          <w:szCs w:val="24"/>
          <w:highlight w:val="none"/>
        </w:rPr>
      </w:pPr>
    </w:p>
    <w:p w14:paraId="01C106CE">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从业人员、营业收入、资产总额填报上一年度数据，无上一年度数据的新成立企业可不填报。</w:t>
      </w:r>
    </w:p>
    <w:p w14:paraId="3B61A246">
      <w:pPr>
        <w:bidi w:val="0"/>
        <w:rPr>
          <w:rFonts w:hint="eastAsia"/>
        </w:rPr>
      </w:pPr>
    </w:p>
    <w:p w14:paraId="04501D0D">
      <w:pPr>
        <w:widowControl/>
        <w:spacing w:line="360" w:lineRule="auto"/>
        <w:jc w:val="left"/>
        <w:rPr>
          <w:rFonts w:hint="eastAsia" w:ascii="宋体" w:hAnsi="宋体" w:cs="宋体"/>
          <w:b/>
          <w:bCs/>
          <w:color w:val="auto"/>
          <w:kern w:val="0"/>
          <w:sz w:val="24"/>
          <w:szCs w:val="24"/>
          <w:highlight w:val="none"/>
        </w:rPr>
      </w:pPr>
      <w:r>
        <w:rPr>
          <w:rFonts w:hint="eastAsia" w:ascii="宋体" w:hAnsi="宋体" w:cs="宋体"/>
          <w:b/>
          <w:bCs/>
          <w:color w:val="auto"/>
          <w:spacing w:val="10"/>
          <w:kern w:val="0"/>
          <w:sz w:val="24"/>
          <w:szCs w:val="24"/>
          <w:highlight w:val="none"/>
        </w:rPr>
        <w:t>（注：如果投标单位不是中小型及微型企业，本声明函可删除）</w:t>
      </w:r>
      <w:bookmarkStart w:id="588" w:name="_Toc5505"/>
      <w:bookmarkEnd w:id="588"/>
      <w:bookmarkStart w:id="589" w:name="_Toc335987416"/>
      <w:bookmarkEnd w:id="589"/>
      <w:bookmarkStart w:id="590" w:name="_Toc3097"/>
      <w:bookmarkEnd w:id="590"/>
      <w:bookmarkStart w:id="591" w:name="_Toc18136"/>
      <w:bookmarkEnd w:id="591"/>
    </w:p>
    <w:p w14:paraId="400ABBCF">
      <w:pPr>
        <w:spacing w:line="360" w:lineRule="auto"/>
        <w:jc w:val="center"/>
        <w:rPr>
          <w:rFonts w:hint="eastAsia" w:ascii="宋体" w:hAnsi="宋体" w:cs="宋体"/>
          <w:b/>
          <w:bCs/>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b/>
          <w:bCs/>
          <w:color w:val="auto"/>
          <w:sz w:val="24"/>
          <w:szCs w:val="24"/>
          <w:highlight w:val="none"/>
        </w:rPr>
        <w:t>2、残疾人福利性单位声明函</w:t>
      </w:r>
    </w:p>
    <w:p w14:paraId="1CBEB045">
      <w:pPr>
        <w:spacing w:line="360" w:lineRule="auto"/>
        <w:rPr>
          <w:rFonts w:hint="eastAsia" w:ascii="宋体" w:hAnsi="宋体" w:cs="宋体"/>
          <w:color w:val="auto"/>
          <w:sz w:val="24"/>
          <w:szCs w:val="24"/>
          <w:highlight w:val="none"/>
        </w:rPr>
      </w:pPr>
    </w:p>
    <w:p w14:paraId="555CB979">
      <w:pPr>
        <w:pStyle w:val="8"/>
        <w:spacing w:line="360" w:lineRule="auto"/>
        <w:rPr>
          <w:rFonts w:hint="eastAsia" w:ascii="宋体" w:hAnsi="宋体" w:cs="宋体"/>
          <w:color w:val="auto"/>
          <w:sz w:val="24"/>
          <w:szCs w:val="24"/>
          <w:highlight w:val="none"/>
        </w:rPr>
      </w:pPr>
    </w:p>
    <w:p w14:paraId="07D62FD9">
      <w:pPr>
        <w:spacing w:before="100" w:beforeAutospacing="1" w:after="100" w:afterAutospacing="1" w:line="360" w:lineRule="auto"/>
        <w:ind w:left="120" w:right="99" w:firstLine="468" w:firstLineChars="200"/>
        <w:jc w:val="left"/>
        <w:rPr>
          <w:rFonts w:hint="eastAsia" w:ascii="宋体" w:hAnsi="宋体" w:cs="宋体"/>
          <w:color w:val="auto"/>
          <w:kern w:val="0"/>
          <w:sz w:val="24"/>
          <w:szCs w:val="24"/>
          <w:highlight w:val="none"/>
        </w:rPr>
      </w:pPr>
      <w:r>
        <w:rPr>
          <w:rFonts w:hint="eastAsia" w:ascii="宋体" w:hAnsi="宋体" w:cs="宋体"/>
          <w:color w:val="auto"/>
          <w:spacing w:val="-3"/>
          <w:kern w:val="0"/>
          <w:sz w:val="24"/>
          <w:szCs w:val="24"/>
          <w:highlight w:val="none"/>
        </w:rPr>
        <w:t xml:space="preserve">本单位郑重声明，根据《财政部 </w:t>
      </w:r>
      <w:r>
        <w:rPr>
          <w:rFonts w:hint="eastAsia" w:ascii="宋体" w:hAnsi="宋体" w:cs="宋体"/>
          <w:color w:val="auto"/>
          <w:kern w:val="0"/>
          <w:sz w:val="24"/>
          <w:szCs w:val="24"/>
          <w:highlight w:val="none"/>
        </w:rPr>
        <w:t>民政部中国残疾人联合会关于促进残疾人就业政府采购政策的通知》（财库〔2017〕141号）的规定，本单位为符合条件的残疾人福利性单位，且本单位参加</w:t>
      </w:r>
      <w:r>
        <w:rPr>
          <w:rFonts w:hint="eastAsia" w:ascii="宋体" w:hAnsi="宋体" w:cs="宋体"/>
          <w:color w:val="auto"/>
          <w:kern w:val="0"/>
          <w:sz w:val="24"/>
          <w:szCs w:val="24"/>
          <w:highlight w:val="none"/>
          <w:u w:val="single" w:color="000000"/>
        </w:rPr>
        <w:tab/>
      </w:r>
      <w:r>
        <w:rPr>
          <w:rFonts w:hint="eastAsia" w:ascii="宋体" w:hAnsi="宋体" w:cs="宋体"/>
          <w:color w:val="auto"/>
          <w:kern w:val="0"/>
          <w:sz w:val="24"/>
          <w:szCs w:val="24"/>
          <w:highlight w:val="none"/>
        </w:rPr>
        <w:t>单位的</w:t>
      </w:r>
      <w:r>
        <w:rPr>
          <w:rFonts w:hint="eastAsia" w:ascii="宋体" w:hAnsi="宋体" w:cs="宋体"/>
          <w:color w:val="auto"/>
          <w:spacing w:val="4"/>
          <w:w w:val="95"/>
          <w:kern w:val="0"/>
          <w:sz w:val="24"/>
          <w:szCs w:val="24"/>
          <w:highlight w:val="none"/>
          <w:u w:val="single" w:color="000000"/>
        </w:rPr>
        <w:tab/>
      </w:r>
      <w:r>
        <w:rPr>
          <w:rFonts w:hint="eastAsia" w:ascii="宋体" w:hAnsi="宋体" w:cs="宋体"/>
          <w:color w:val="auto"/>
          <w:kern w:val="0"/>
          <w:sz w:val="24"/>
          <w:szCs w:val="24"/>
          <w:highlight w:val="none"/>
        </w:rPr>
        <w:t>项目采购活动提供本单位制造的货物（由本单位承担工程/提供服务），或者提供其他残疾人福利性单位制造的货物（不包括使用非残疾人福利性单位 注册商标的货物）。</w:t>
      </w:r>
    </w:p>
    <w:p w14:paraId="2B06B146">
      <w:pPr>
        <w:spacing w:beforeAutospacing="1" w:after="100" w:afterAutospacing="1" w:line="360" w:lineRule="auto"/>
        <w:ind w:left="120" w:right="1190"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本单位对上述声明的真实性负责。如有虚假，将依法承担相应责任。</w:t>
      </w:r>
    </w:p>
    <w:p w14:paraId="5E2485B7">
      <w:pPr>
        <w:spacing w:before="5" w:line="360" w:lineRule="auto"/>
        <w:jc w:val="left"/>
        <w:rPr>
          <w:rFonts w:hint="eastAsia" w:ascii="宋体" w:hAnsi="宋体" w:cs="宋体"/>
          <w:color w:val="auto"/>
          <w:kern w:val="0"/>
          <w:sz w:val="24"/>
          <w:szCs w:val="24"/>
          <w:highlight w:val="none"/>
        </w:rPr>
      </w:pPr>
    </w:p>
    <w:p w14:paraId="55E454C5">
      <w:pPr>
        <w:tabs>
          <w:tab w:val="left" w:pos="751"/>
          <w:tab w:val="left" w:pos="8360"/>
        </w:tabs>
        <w:spacing w:beforeAutospacing="1" w:after="100" w:afterAutospacing="1" w:line="360" w:lineRule="auto"/>
        <w:ind w:left="199" w:leftChars="95" w:right="50" w:firstLine="3960" w:firstLineChars="1650"/>
        <w:jc w:val="left"/>
        <w:rPr>
          <w:rFonts w:hint="eastAsia" w:ascii="宋体" w:hAnsi="宋体" w:cs="宋体"/>
          <w:color w:val="auto"/>
          <w:kern w:val="0"/>
          <w:sz w:val="24"/>
          <w:szCs w:val="24"/>
          <w:highlight w:val="none"/>
          <w:u w:val="single" w:color="000000"/>
        </w:rPr>
      </w:pPr>
      <w:r>
        <w:rPr>
          <w:rFonts w:hint="eastAsia" w:ascii="宋体" w:hAnsi="宋体" w:cs="宋体"/>
          <w:color w:val="auto"/>
          <w:kern w:val="0"/>
          <w:sz w:val="24"/>
          <w:szCs w:val="24"/>
          <w:highlight w:val="none"/>
        </w:rPr>
        <w:t>单位名称（盖单位章）：</w:t>
      </w:r>
    </w:p>
    <w:p w14:paraId="4A17BC77">
      <w:pPr>
        <w:tabs>
          <w:tab w:val="left" w:pos="751"/>
          <w:tab w:val="left" w:pos="3103"/>
          <w:tab w:val="left" w:pos="4346"/>
        </w:tabs>
        <w:spacing w:beforeAutospacing="1" w:after="100" w:afterAutospacing="1" w:line="360" w:lineRule="auto"/>
        <w:ind w:left="100" w:right="50" w:firstLine="4560" w:firstLineChars="1900"/>
        <w:rPr>
          <w:rFonts w:hint="eastAsia" w:ascii="宋体" w:hAnsi="宋体" w:cs="宋体"/>
          <w:b/>
          <w:color w:val="auto"/>
          <w:kern w:val="0"/>
          <w:sz w:val="24"/>
          <w:szCs w:val="24"/>
          <w:highlight w:val="none"/>
        </w:rPr>
      </w:pPr>
      <w:r>
        <w:rPr>
          <w:rFonts w:hint="eastAsia" w:ascii="宋体" w:hAnsi="宋体" w:cs="宋体"/>
          <w:bCs/>
          <w:color w:val="auto"/>
          <w:kern w:val="0"/>
          <w:sz w:val="24"/>
          <w:szCs w:val="24"/>
          <w:highlight w:val="none"/>
        </w:rPr>
        <w:t>日 期</w:t>
      </w:r>
      <w:r>
        <w:rPr>
          <w:rFonts w:hint="eastAsia" w:ascii="宋体" w:hAnsi="宋体" w:cs="宋体"/>
          <w:color w:val="auto"/>
          <w:kern w:val="0"/>
          <w:sz w:val="24"/>
          <w:szCs w:val="24"/>
          <w:highlight w:val="none"/>
        </w:rPr>
        <w:t>：</w:t>
      </w:r>
    </w:p>
    <w:p w14:paraId="2F7EED1F">
      <w:pPr>
        <w:spacing w:beforeAutospacing="1" w:after="160" w:line="360" w:lineRule="auto"/>
        <w:jc w:val="center"/>
        <w:rPr>
          <w:rFonts w:hint="eastAsia" w:ascii="宋体" w:hAnsi="宋体" w:cs="宋体"/>
          <w:b/>
          <w:color w:val="auto"/>
          <w:kern w:val="0"/>
          <w:sz w:val="24"/>
          <w:szCs w:val="24"/>
          <w:highlight w:val="none"/>
        </w:rPr>
      </w:pPr>
    </w:p>
    <w:p w14:paraId="16ABC886">
      <w:pPr>
        <w:widowControl/>
        <w:autoSpaceDE w:val="0"/>
        <w:autoSpaceDN w:val="0"/>
        <w:adjustRightInd w:val="0"/>
        <w:spacing w:line="360" w:lineRule="auto"/>
        <w:jc w:val="center"/>
        <w:rPr>
          <w:rFonts w:hint="eastAsia" w:ascii="宋体" w:hAnsi="宋体" w:cs="宋体"/>
          <w:color w:val="auto"/>
          <w:kern w:val="0"/>
          <w:sz w:val="24"/>
          <w:szCs w:val="24"/>
          <w:highlight w:val="none"/>
        </w:rPr>
      </w:pPr>
      <w:r>
        <w:rPr>
          <w:rFonts w:hint="eastAsia" w:ascii="宋体" w:hAnsi="宋体" w:cs="宋体"/>
          <w:b/>
          <w:color w:val="auto"/>
          <w:spacing w:val="10"/>
          <w:kern w:val="0"/>
          <w:sz w:val="24"/>
          <w:szCs w:val="24"/>
          <w:highlight w:val="none"/>
        </w:rPr>
        <w:t>（注：</w:t>
      </w:r>
      <w:r>
        <w:rPr>
          <w:rFonts w:hint="eastAsia" w:ascii="宋体" w:hAnsi="宋体" w:cs="宋体"/>
          <w:b/>
          <w:color w:val="auto"/>
          <w:kern w:val="0"/>
          <w:sz w:val="24"/>
          <w:szCs w:val="24"/>
          <w:highlight w:val="none"/>
        </w:rPr>
        <w:t>如果投标人不属于残疾人福利性企业，本</w:t>
      </w:r>
      <w:r>
        <w:rPr>
          <w:rFonts w:hint="eastAsia" w:ascii="宋体" w:hAnsi="宋体" w:cs="宋体"/>
          <w:b/>
          <w:color w:val="auto"/>
          <w:spacing w:val="10"/>
          <w:kern w:val="0"/>
          <w:sz w:val="24"/>
          <w:szCs w:val="24"/>
          <w:highlight w:val="none"/>
        </w:rPr>
        <w:t>声明函可删除</w:t>
      </w:r>
      <w:r>
        <w:rPr>
          <w:rFonts w:hint="eastAsia" w:ascii="宋体" w:hAnsi="宋体" w:cs="宋体"/>
          <w:b/>
          <w:color w:val="auto"/>
          <w:kern w:val="0"/>
          <w:sz w:val="24"/>
          <w:szCs w:val="24"/>
          <w:highlight w:val="none"/>
        </w:rPr>
        <w:t>。</w:t>
      </w:r>
      <w:r>
        <w:rPr>
          <w:rFonts w:hint="eastAsia" w:ascii="宋体" w:hAnsi="宋体" w:cs="宋体"/>
          <w:b/>
          <w:color w:val="auto"/>
          <w:spacing w:val="10"/>
          <w:kern w:val="0"/>
          <w:sz w:val="24"/>
          <w:szCs w:val="24"/>
          <w:highlight w:val="none"/>
        </w:rPr>
        <w:t>）</w:t>
      </w:r>
    </w:p>
    <w:p w14:paraId="3116F5D2">
      <w:pPr>
        <w:pStyle w:val="36"/>
        <w:numPr>
          <w:ilvl w:val="0"/>
          <w:numId w:val="10"/>
        </w:numPr>
        <w:spacing w:line="360" w:lineRule="auto"/>
        <w:jc w:val="center"/>
        <w:rPr>
          <w:rFonts w:hint="eastAsia" w:hAnsi="宋体"/>
          <w:b/>
          <w:bCs/>
          <w:color w:val="auto"/>
          <w:highlight w:val="none"/>
        </w:rPr>
      </w:pPr>
      <w:r>
        <w:rPr>
          <w:rFonts w:hint="eastAsia" w:hAnsi="宋体"/>
          <w:color w:val="auto"/>
          <w:highlight w:val="none"/>
        </w:rPr>
        <w:br w:type="page"/>
      </w:r>
      <w:r>
        <w:rPr>
          <w:rFonts w:hint="eastAsia" w:hAnsi="宋体"/>
          <w:b/>
          <w:bCs/>
          <w:color w:val="auto"/>
          <w:highlight w:val="none"/>
        </w:rPr>
        <w:t>监狱企业证明文件</w:t>
      </w:r>
    </w:p>
    <w:p w14:paraId="599AC67E">
      <w:pPr>
        <w:pStyle w:val="36"/>
        <w:spacing w:line="360" w:lineRule="auto"/>
        <w:jc w:val="both"/>
        <w:rPr>
          <w:rFonts w:hint="eastAsia" w:hAnsi="宋体"/>
          <w:color w:val="auto"/>
          <w:highlight w:val="none"/>
        </w:rPr>
      </w:pPr>
    </w:p>
    <w:p w14:paraId="43B3FCD5">
      <w:pPr>
        <w:pStyle w:val="36"/>
        <w:spacing w:line="360" w:lineRule="auto"/>
        <w:jc w:val="both"/>
        <w:rPr>
          <w:rFonts w:hint="eastAsia" w:hAnsi="宋体"/>
          <w:color w:val="auto"/>
          <w:highlight w:val="none"/>
        </w:rPr>
      </w:pPr>
    </w:p>
    <w:p w14:paraId="2698E4A7">
      <w:pPr>
        <w:spacing w:before="30" w:line="360" w:lineRule="auto"/>
        <w:ind w:right="75"/>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省级以上监狱管理局、戒毒管理局（含新疆生产建设兵团）出具的属于监狱企业的证明文件。</w:t>
      </w:r>
    </w:p>
    <w:p w14:paraId="131ABB87">
      <w:pPr>
        <w:spacing w:before="30" w:line="360" w:lineRule="auto"/>
        <w:ind w:right="75"/>
        <w:jc w:val="center"/>
        <w:rPr>
          <w:rFonts w:hint="eastAsia" w:ascii="宋体" w:hAnsi="宋体" w:cs="宋体"/>
          <w:color w:val="auto"/>
          <w:kern w:val="0"/>
          <w:sz w:val="24"/>
          <w:szCs w:val="24"/>
          <w:highlight w:val="none"/>
        </w:rPr>
      </w:pPr>
    </w:p>
    <w:p w14:paraId="72CA4008">
      <w:pPr>
        <w:spacing w:before="30" w:line="360" w:lineRule="auto"/>
        <w:ind w:right="75"/>
        <w:jc w:val="center"/>
        <w:rPr>
          <w:rFonts w:hint="eastAsia" w:ascii="宋体" w:hAnsi="宋体" w:cs="宋体"/>
          <w:color w:val="auto"/>
          <w:kern w:val="0"/>
          <w:sz w:val="24"/>
          <w:szCs w:val="24"/>
          <w:highlight w:val="none"/>
        </w:rPr>
      </w:pPr>
    </w:p>
    <w:p w14:paraId="5D041485">
      <w:pPr>
        <w:spacing w:before="30" w:line="360" w:lineRule="auto"/>
        <w:ind w:right="75"/>
        <w:jc w:val="center"/>
        <w:rPr>
          <w:rFonts w:hint="eastAsia" w:ascii="宋体" w:hAnsi="宋体" w:cs="宋体"/>
          <w:color w:val="auto"/>
          <w:kern w:val="0"/>
          <w:sz w:val="24"/>
          <w:szCs w:val="24"/>
          <w:highlight w:val="none"/>
        </w:rPr>
      </w:pPr>
    </w:p>
    <w:p w14:paraId="612359F0">
      <w:pPr>
        <w:spacing w:before="30" w:line="360" w:lineRule="auto"/>
        <w:ind w:right="75"/>
        <w:jc w:val="center"/>
        <w:rPr>
          <w:rFonts w:hint="eastAsia" w:ascii="宋体" w:hAnsi="宋体" w:cs="宋体"/>
          <w:color w:val="auto"/>
          <w:kern w:val="0"/>
          <w:sz w:val="24"/>
          <w:szCs w:val="24"/>
          <w:highlight w:val="none"/>
        </w:rPr>
      </w:pPr>
    </w:p>
    <w:p w14:paraId="267C7049">
      <w:pPr>
        <w:spacing w:before="30" w:line="360" w:lineRule="auto"/>
        <w:ind w:right="75"/>
        <w:jc w:val="center"/>
        <w:rPr>
          <w:rFonts w:hint="eastAsia" w:ascii="宋体" w:hAnsi="宋体" w:cs="宋体"/>
          <w:color w:val="auto"/>
          <w:kern w:val="0"/>
          <w:sz w:val="24"/>
          <w:szCs w:val="24"/>
          <w:highlight w:val="none"/>
        </w:rPr>
      </w:pPr>
    </w:p>
    <w:p w14:paraId="2E1A5760">
      <w:pPr>
        <w:spacing w:before="30" w:line="360" w:lineRule="auto"/>
        <w:ind w:right="75"/>
        <w:jc w:val="center"/>
        <w:rPr>
          <w:rFonts w:hint="eastAsia" w:ascii="宋体" w:hAnsi="宋体" w:cs="宋体"/>
          <w:color w:val="auto"/>
          <w:kern w:val="0"/>
          <w:sz w:val="24"/>
          <w:szCs w:val="24"/>
          <w:highlight w:val="none"/>
        </w:rPr>
      </w:pPr>
    </w:p>
    <w:p w14:paraId="0F4F5102">
      <w:pPr>
        <w:spacing w:before="30" w:line="360" w:lineRule="auto"/>
        <w:ind w:right="75"/>
        <w:jc w:val="center"/>
        <w:rPr>
          <w:rFonts w:hint="eastAsia" w:ascii="宋体" w:hAnsi="宋体" w:cs="宋体"/>
          <w:color w:val="auto"/>
          <w:kern w:val="0"/>
          <w:sz w:val="24"/>
          <w:szCs w:val="24"/>
          <w:highlight w:val="none"/>
        </w:rPr>
      </w:pPr>
    </w:p>
    <w:p w14:paraId="3BC0EC68">
      <w:pPr>
        <w:spacing w:before="30" w:line="360" w:lineRule="auto"/>
        <w:ind w:right="75"/>
        <w:jc w:val="center"/>
        <w:rPr>
          <w:rFonts w:hint="eastAsia" w:ascii="宋体" w:hAnsi="宋体" w:cs="宋体"/>
          <w:color w:val="auto"/>
          <w:kern w:val="0"/>
          <w:sz w:val="24"/>
          <w:szCs w:val="24"/>
          <w:highlight w:val="none"/>
        </w:rPr>
      </w:pPr>
    </w:p>
    <w:p w14:paraId="5C4F1B43">
      <w:pPr>
        <w:spacing w:before="30" w:line="360" w:lineRule="auto"/>
        <w:ind w:right="75"/>
        <w:jc w:val="center"/>
        <w:rPr>
          <w:rFonts w:hint="eastAsia" w:ascii="宋体" w:hAnsi="宋体" w:cs="宋体"/>
          <w:color w:val="auto"/>
          <w:kern w:val="0"/>
          <w:sz w:val="24"/>
          <w:szCs w:val="24"/>
          <w:highlight w:val="none"/>
        </w:rPr>
      </w:pPr>
    </w:p>
    <w:p w14:paraId="5974C2B2">
      <w:pPr>
        <w:spacing w:before="30" w:line="360" w:lineRule="auto"/>
        <w:ind w:right="75"/>
        <w:jc w:val="center"/>
        <w:rPr>
          <w:rFonts w:hint="eastAsia" w:ascii="宋体" w:hAnsi="宋体" w:cs="宋体"/>
          <w:color w:val="auto"/>
          <w:kern w:val="0"/>
          <w:sz w:val="24"/>
          <w:szCs w:val="24"/>
          <w:highlight w:val="none"/>
        </w:rPr>
      </w:pPr>
    </w:p>
    <w:p w14:paraId="34E05939">
      <w:pPr>
        <w:spacing w:before="30" w:line="360" w:lineRule="auto"/>
        <w:ind w:right="75"/>
        <w:jc w:val="center"/>
        <w:rPr>
          <w:rFonts w:hint="eastAsia" w:ascii="宋体" w:hAnsi="宋体" w:cs="宋体"/>
          <w:color w:val="auto"/>
          <w:kern w:val="0"/>
          <w:sz w:val="24"/>
          <w:szCs w:val="24"/>
          <w:highlight w:val="none"/>
        </w:rPr>
      </w:pPr>
    </w:p>
    <w:p w14:paraId="5A1B82B3">
      <w:pPr>
        <w:spacing w:before="30" w:line="360" w:lineRule="auto"/>
        <w:ind w:right="75"/>
        <w:jc w:val="center"/>
        <w:rPr>
          <w:rFonts w:hint="eastAsia" w:ascii="宋体" w:hAnsi="宋体" w:cs="宋体"/>
          <w:color w:val="auto"/>
          <w:kern w:val="0"/>
          <w:sz w:val="24"/>
          <w:szCs w:val="24"/>
          <w:highlight w:val="none"/>
        </w:rPr>
      </w:pPr>
    </w:p>
    <w:p w14:paraId="09AF006F">
      <w:pPr>
        <w:spacing w:before="30" w:line="360" w:lineRule="auto"/>
        <w:ind w:right="75"/>
        <w:jc w:val="center"/>
        <w:rPr>
          <w:rFonts w:hint="eastAsia" w:ascii="宋体" w:hAnsi="宋体" w:cs="宋体"/>
          <w:color w:val="auto"/>
          <w:kern w:val="0"/>
          <w:sz w:val="24"/>
          <w:szCs w:val="24"/>
          <w:highlight w:val="none"/>
        </w:rPr>
      </w:pPr>
      <w:r>
        <w:rPr>
          <w:rFonts w:hint="eastAsia" w:ascii="宋体" w:hAnsi="宋体" w:cs="宋体"/>
          <w:b/>
          <w:color w:val="auto"/>
          <w:spacing w:val="10"/>
          <w:kern w:val="0"/>
          <w:sz w:val="24"/>
          <w:szCs w:val="24"/>
          <w:highlight w:val="none"/>
        </w:rPr>
        <w:t>（注：</w:t>
      </w:r>
      <w:r>
        <w:rPr>
          <w:rFonts w:hint="eastAsia" w:ascii="宋体" w:hAnsi="宋体" w:cs="宋体"/>
          <w:b/>
          <w:color w:val="auto"/>
          <w:kern w:val="0"/>
          <w:sz w:val="24"/>
          <w:szCs w:val="24"/>
          <w:highlight w:val="none"/>
        </w:rPr>
        <w:t>如果投标人不属于监狱企业，本</w:t>
      </w:r>
      <w:r>
        <w:rPr>
          <w:rFonts w:hint="eastAsia" w:ascii="宋体" w:hAnsi="宋体" w:cs="宋体"/>
          <w:b/>
          <w:color w:val="auto"/>
          <w:spacing w:val="10"/>
          <w:kern w:val="0"/>
          <w:sz w:val="24"/>
          <w:szCs w:val="24"/>
          <w:highlight w:val="none"/>
        </w:rPr>
        <w:t>页可删除）</w:t>
      </w:r>
    </w:p>
    <w:p w14:paraId="4898E071">
      <w:pPr>
        <w:pStyle w:val="3"/>
        <w:numPr>
          <w:ilvl w:val="0"/>
          <w:numId w:val="0"/>
        </w:numPr>
        <w:spacing w:line="360" w:lineRule="auto"/>
        <w:jc w:val="center"/>
        <w:rPr>
          <w:rFonts w:hint="eastAsia" w:ascii="宋体" w:hAnsi="宋体" w:eastAsia="宋体" w:cs="宋体"/>
          <w:b/>
          <w:color w:val="auto"/>
          <w:spacing w:val="10"/>
          <w:kern w:val="0"/>
          <w:sz w:val="40"/>
          <w:szCs w:val="40"/>
          <w:highlight w:val="none"/>
        </w:rPr>
      </w:pPr>
      <w:r>
        <w:rPr>
          <w:rFonts w:hint="eastAsia" w:ascii="宋体" w:hAnsi="宋体" w:eastAsia="宋体" w:cs="宋体"/>
          <w:color w:val="auto"/>
          <w:sz w:val="24"/>
          <w:szCs w:val="24"/>
          <w:highlight w:val="none"/>
        </w:rPr>
        <w:br w:type="page"/>
      </w:r>
      <w:bookmarkStart w:id="592" w:name="_Toc1038"/>
      <w:bookmarkStart w:id="593" w:name="_Toc22717"/>
      <w:bookmarkStart w:id="594" w:name="_Toc28028"/>
      <w:r>
        <w:rPr>
          <w:rFonts w:hint="eastAsia" w:ascii="宋体" w:hAnsi="宋体" w:eastAsia="宋体" w:cs="宋体"/>
          <w:b/>
          <w:bCs/>
          <w:color w:val="auto"/>
          <w:sz w:val="40"/>
          <w:szCs w:val="40"/>
          <w:highlight w:val="none"/>
        </w:rPr>
        <w:t>第七章 附件</w:t>
      </w:r>
      <w:bookmarkEnd w:id="592"/>
      <w:bookmarkEnd w:id="593"/>
      <w:bookmarkEnd w:id="594"/>
    </w:p>
    <w:p w14:paraId="2ECC9B2A">
      <w:pPr>
        <w:widowControl/>
        <w:spacing w:line="360" w:lineRule="auto"/>
        <w:jc w:val="center"/>
        <w:rPr>
          <w:rFonts w:hint="eastAsia" w:ascii="宋体" w:hAnsi="宋体" w:cs="宋体"/>
          <w:b/>
          <w:color w:val="auto"/>
          <w:sz w:val="28"/>
          <w:szCs w:val="28"/>
          <w:highlight w:val="none"/>
        </w:rPr>
      </w:pPr>
    </w:p>
    <w:p w14:paraId="66020773">
      <w:pPr>
        <w:keepNext/>
        <w:keepLines/>
        <w:widowControl/>
        <w:spacing w:line="360" w:lineRule="auto"/>
        <w:contextualSpacing/>
        <w:jc w:val="left"/>
        <w:outlineLvl w:val="1"/>
        <w:rPr>
          <w:rFonts w:hint="eastAsia" w:ascii="宋体" w:hAnsi="宋体" w:cs="宋体"/>
          <w:b/>
          <w:bCs/>
          <w:color w:val="auto"/>
          <w:highlight w:val="none"/>
        </w:rPr>
      </w:pPr>
      <w:bookmarkStart w:id="595" w:name="_Toc4079"/>
      <w:bookmarkStart w:id="596" w:name="_Toc8162"/>
      <w:bookmarkStart w:id="597" w:name="_Toc60755565"/>
      <w:r>
        <w:rPr>
          <w:rFonts w:hint="eastAsia" w:ascii="宋体" w:hAnsi="宋体" w:cs="宋体"/>
          <w:b/>
          <w:bCs/>
          <w:color w:val="auto"/>
          <w:highlight w:val="none"/>
        </w:rPr>
        <w:t>附件一：</w:t>
      </w:r>
      <w:bookmarkEnd w:id="595"/>
      <w:bookmarkEnd w:id="596"/>
    </w:p>
    <w:p w14:paraId="26779C00">
      <w:pPr>
        <w:keepNext/>
        <w:keepLines/>
        <w:widowControl/>
        <w:spacing w:line="360" w:lineRule="auto"/>
        <w:contextualSpacing/>
        <w:jc w:val="center"/>
        <w:outlineLvl w:val="3"/>
        <w:rPr>
          <w:rFonts w:hint="eastAsia" w:ascii="宋体" w:hAnsi="宋体" w:cs="宋体"/>
          <w:b/>
          <w:bCs/>
          <w:iCs/>
          <w:color w:val="auto"/>
          <w:sz w:val="24"/>
          <w:szCs w:val="24"/>
          <w:highlight w:val="none"/>
        </w:rPr>
      </w:pPr>
      <w:r>
        <w:rPr>
          <w:rFonts w:hint="eastAsia" w:ascii="宋体" w:hAnsi="宋体" w:cs="宋体"/>
          <w:b/>
          <w:bCs/>
          <w:iCs/>
          <w:color w:val="auto"/>
          <w:sz w:val="24"/>
          <w:szCs w:val="24"/>
          <w:highlight w:val="none"/>
        </w:rPr>
        <w:t>河南省政府采购合同融资政策告知函</w:t>
      </w:r>
      <w:bookmarkEnd w:id="597"/>
    </w:p>
    <w:p w14:paraId="7E4AC612">
      <w:pPr>
        <w:widowControl/>
        <w:spacing w:line="360" w:lineRule="auto"/>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各投标人：</w:t>
      </w:r>
    </w:p>
    <w:p w14:paraId="64ABAC35">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欢迎贵公司参与河南省政府采购活动！</w:t>
      </w:r>
    </w:p>
    <w:p w14:paraId="43D9B11F">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078103B9">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贷款渠道和提供贷款的金融机构，可在河南省政府采购网“河南省政府采购合同融资平台”查询联系。</w:t>
      </w:r>
    </w:p>
    <w:p w14:paraId="520754A1">
      <w:pPr>
        <w:pStyle w:val="4"/>
        <w:numPr>
          <w:numId w:val="0"/>
        </w:numPr>
        <w:bidi w:val="0"/>
        <w:ind w:left="540" w:leftChars="0"/>
        <w:rPr>
          <w:rFonts w:hint="eastAsia" w:ascii="宋体" w:hAnsi="宋体" w:cs="宋体"/>
          <w:color w:val="auto"/>
          <w:highlight w:val="none"/>
        </w:rPr>
      </w:pPr>
      <w:r>
        <w:rPr>
          <w:rFonts w:hint="eastAsia" w:ascii="宋体" w:hAnsi="宋体" w:cs="宋体"/>
          <w:color w:val="auto"/>
          <w:sz w:val="24"/>
          <w:szCs w:val="24"/>
          <w:highlight w:val="none"/>
        </w:rPr>
        <w:br w:type="page"/>
      </w:r>
      <w:r>
        <w:rPr>
          <w:rFonts w:hint="eastAsia" w:ascii="宋体" w:hAnsi="宋体" w:cs="宋体"/>
          <w:color w:val="auto"/>
          <w:highlight w:val="none"/>
        </w:rPr>
        <w:t>附件二：</w:t>
      </w:r>
    </w:p>
    <w:p w14:paraId="0B56CF3F">
      <w:pPr>
        <w:spacing w:before="240" w:beforeLines="100"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全流程电子化交易注意事项</w:t>
      </w:r>
    </w:p>
    <w:p w14:paraId="0D5984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电子化交易项目投标文件是投标人、投标人（以下简称“投标人”）通过中心投标文件制作系统制作，并 经过签章和加密后生成的电子版投标文件。（电子化投标文件具体制作教材请投标人通过 CA 证书登录公共资 源电子化交易系统在右上角“组件下载”中查看）制作电子化投标文件，需仔细阅读以下条款。 </w:t>
      </w:r>
    </w:p>
    <w:p w14:paraId="23AA9DA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一、电子化投标</w:t>
      </w:r>
    </w:p>
    <w:p w14:paraId="3C4E30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（一）网上投标保证金的缴纳</w:t>
      </w:r>
    </w:p>
    <w:p w14:paraId="05F98F0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1、递交形式: 投标人的投标保证金必须通过投标人基本账户以转账或电汇的形式缴纳（账户必须是已加入平顶山市公共资源交易投标人或投标人诚信库中的账户）。</w:t>
      </w:r>
    </w:p>
    <w:p w14:paraId="71BE381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2、投标人缴纳投标保证金后，应在规定的缴纳截止时间前通过平顶山市公共资源电子化交易系统将保证金成 功绑定至所投标项目和标包。保证金绑定操作手册，请登录平顶山市公共资源交易中心系统在办事指南中网 上投标栏目查看。</w:t>
      </w:r>
    </w:p>
    <w:p w14:paraId="6C444B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3、投标人在成功绑定后，可以将系统生成的回执单图片制作在投标文件中，作为缴纳保证金的依据。</w:t>
      </w:r>
    </w:p>
    <w:p w14:paraId="2E31A4F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4、投标人应仔细阅读操作手册并充分考虑异地跨行转账到账时间等因素，因投标人操作不当或银行到账时间 等问题造成保证金无法正常绑定影响投标的，由投标人自行承担后果。</w:t>
      </w:r>
    </w:p>
    <w:p w14:paraId="51B637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5、未中标投标人的投标保证金在项目结束后，由中介服务机构向中心项目负责人提出退款申请，项目负责人 同意并经财务部门核对后，通过中心交易平台退还给投标人。</w:t>
      </w:r>
    </w:p>
    <w:p w14:paraId="48D9C18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（二）电子化投标文件的签章</w:t>
      </w:r>
    </w:p>
    <w:p w14:paraId="70A382D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1、投标人在生成电子化投标文件后，应对电子化投标文件进行签章，未进行签章的视为无效投标。</w:t>
      </w:r>
    </w:p>
    <w:p w14:paraId="5B51FA7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2、招标文件中要求法定代表人或授权委托人签字或盖章的，投标人在进行电子化投标文件签章时，以签盖法 定代表人签章为准。电子化投标文件具体制作教材请投标人通过 CA 证书登录平顶山市公共资源电子化交易系 统在右上角“组建下载”中查看。</w:t>
      </w:r>
    </w:p>
    <w:p w14:paraId="0494C17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（三）电子化投标文件的格式及上传投标</w:t>
      </w:r>
    </w:p>
    <w:p w14:paraId="68BF26C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1、投标人所上传的电子化投标文件，应是通过中心投标文件制作系统制作的，经过签章和加密后生成的电子 版投标文件。生成的电子版投标文件包含用于投标文件上传的主文件（项目文件格式为：xxx 公司_ 项目名 称.file）和用于应急补救的投标文件备份文件（项目文件格式为：xxx 公司_ 项目名称.bin），备份文件主 要用于电子化开标出现技术问题后的补救，请投标人随身携带。 注：（1）投标人投报多个标包的，根据标包制作各个标包的投标文件后上传</w:t>
      </w:r>
    </w:p>
    <w:p w14:paraId="5A257C2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2、电子化投标文件应在投标截止时间前成功上传至平顶山市公共资源电子化交易系统。至投标截止时间止， 仍未上传成功的电子化投标文件将不予接收。 注：如按照电子化投标操作教材制作完成的电子化投标文件无法上传的，投标人应在投标截止时间前尽早的 联系中心技术人员，以便有充分的时间进行处理。投标人应充分考虑到处理技术问题和上传数据等工作所需 的时间问题，投标文件未在投标截止时间前成功上传的，其投标文件不予接收。</w:t>
      </w:r>
    </w:p>
    <w:p w14:paraId="2C6D6B0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（四）电子化项目开标、解密、唱标、评标</w:t>
      </w:r>
    </w:p>
    <w:p w14:paraId="244295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1、电子化投标文件采用双重加密方式。开标时，首先由投标人使用 CA 证书，在规定时间内对其电子化投标 文件进行首次解密，投标人解密完成后，再由中介服务机构使用 CA 证书对投标文件进行再次解密。</w:t>
      </w:r>
    </w:p>
    <w:p w14:paraId="3F6B3E7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2、电子化投标文件解密异常的处理 如出现投标人的电子投标文件无法解密的情况，投标人应及时联系中介服务机构说明。投标文件解密异常， 按以下步骤进行处理：</w:t>
      </w:r>
    </w:p>
    <w:p w14:paraId="248D87F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（1）首先由技术人员进行问题排查。</w:t>
      </w:r>
    </w:p>
    <w:p w14:paraId="4B38088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（2）经技术人员排查后，是投标人文件自身问题导致投标文件无法解密的，该投标文件将不予接收、解密和唱标，开标会议继续进行。</w:t>
      </w:r>
    </w:p>
    <w:p w14:paraId="3D199F6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（3）经技术人员排查后，如果是电子化交易系统问题造成投标文件无法解密的，将由技术人员对问题进行处 理。如短时间内问题无法解决的，将由中介服务机构向监督部门申请，经监督部门同意后，暂停开标会议， 待问题解决后继续开标。</w:t>
      </w:r>
    </w:p>
    <w:p w14:paraId="52520C7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3、待所有投标人投标文件解密完成后，由中介服务机构操作，对所有已解密投标文件进行唱标。</w:t>
      </w:r>
    </w:p>
    <w:p w14:paraId="5D8F7D3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4、评标时，评标委员会对电子化投标文件有质疑的，将通过电子化交易系统对投标人发起质疑。质疑回复内 容确认后，投标人的回复文件必须以经过投标人和其法定代表人签章的 PDF 格式文件为准，并通过电子化交 易系统提交至评标委员会。</w:t>
      </w:r>
    </w:p>
    <w:p w14:paraId="0581818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5、如评标委员会对需要回复的投标人回复内容有异议的，经过几次回复仍不清楚的，需在监督下进行免提电 话进行质疑。</w:t>
      </w:r>
    </w:p>
    <w:p w14:paraId="4A8661B7">
      <w:pPr>
        <w:spacing w:line="360" w:lineRule="auto"/>
        <w:ind w:firstLine="480" w:firstLineChars="200"/>
        <w:rPr>
          <w:color w:val="auto"/>
          <w:highlight w:val="none"/>
        </w:rPr>
      </w:pPr>
      <w:r>
        <w:rPr>
          <w:rFonts w:hint="eastAsia" w:ascii="宋体" w:hAnsi="宋体" w:cs="宋体"/>
          <w:color w:val="auto"/>
          <w:sz w:val="24"/>
          <w:szCs w:val="24"/>
          <w:highlight w:val="none"/>
        </w:rPr>
        <w:t>6、评标时如因系统异常、停电、电脑病毒、网络堵塞等原因无法正常进行的，由技术人员排查解决，短时 间无法解决的，经监督部门同意后，暂停评标活动，待问题解决后继续评标。</w:t>
      </w:r>
    </w:p>
    <w:sectPr>
      <w:type w:val="nextColumn"/>
      <w:pgSz w:w="11906" w:h="16838"/>
      <w:pgMar w:top="1440" w:right="1134" w:bottom="1440" w:left="1134" w:header="850" w:footer="992" w:gutter="0"/>
      <w:cols w:space="720" w:num="1"/>
      <w:docGrid w:linePitch="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992A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083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A54B91">
                          <w:pPr>
                            <w:pStyle w:val="14"/>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74A54B91">
                    <w:pPr>
                      <w:pStyle w:val="1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C1550">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C04CAB">
                          <w:pPr>
                            <w:pStyle w:val="14"/>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3BC04CAB">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150A">
    <w:pPr>
      <w:pStyle w:val="15"/>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664E8">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D624F"/>
    <w:multiLevelType w:val="singleLevel"/>
    <w:tmpl w:val="D19D624F"/>
    <w:lvl w:ilvl="0" w:tentative="0">
      <w:start w:val="1"/>
      <w:numFmt w:val="decimal"/>
      <w:suff w:val="nothing"/>
      <w:lvlText w:val="（%1）"/>
      <w:lvlJc w:val="left"/>
    </w:lvl>
  </w:abstractNum>
  <w:abstractNum w:abstractNumId="1">
    <w:nsid w:val="EADFBFE1"/>
    <w:multiLevelType w:val="singleLevel"/>
    <w:tmpl w:val="EADFBFE1"/>
    <w:lvl w:ilvl="0" w:tentative="0">
      <w:start w:val="3"/>
      <w:numFmt w:val="decimal"/>
      <w:suff w:val="nothing"/>
      <w:lvlText w:val="（%1）"/>
      <w:lvlJc w:val="left"/>
    </w:lvl>
  </w:abstractNum>
  <w:abstractNum w:abstractNumId="2">
    <w:nsid w:val="00000003"/>
    <w:multiLevelType w:val="multilevel"/>
    <w:tmpl w:val="00000003"/>
    <w:lvl w:ilvl="0" w:tentative="0">
      <w:start w:val="1"/>
      <w:numFmt w:val="chineseCountingThousand"/>
      <w:pStyle w:val="3"/>
      <w:lvlText w:val="%1."/>
      <w:lvlJc w:val="left"/>
      <w:pPr>
        <w:ind w:left="425" w:hanging="425"/>
      </w:pPr>
    </w:lvl>
    <w:lvl w:ilvl="1" w:tentative="0">
      <w:start w:val="1"/>
      <w:numFmt w:val="decimal"/>
      <w:pStyle w:val="4"/>
      <w:lvlText w:val="%2."/>
      <w:lvlJc w:val="left"/>
      <w:pPr>
        <w:ind w:left="965" w:hanging="425"/>
      </w:pPr>
    </w:lvl>
    <w:lvl w:ilvl="2" w:tentative="0">
      <w:start w:val="1"/>
      <w:numFmt w:val="none"/>
      <w:pStyle w:val="5"/>
      <w:suff w:val="nothing"/>
      <w:lvlText w:val=""/>
      <w:lvlJc w:val="left"/>
      <w:pPr>
        <w:ind w:left="4253" w:hanging="425"/>
      </w:pPr>
    </w:lvl>
    <w:lvl w:ilvl="3" w:tentative="0">
      <w:start w:val="1"/>
      <w:numFmt w:val="lowerLetter"/>
      <w:lvlText w:val="%4)"/>
      <w:lvlJc w:val="left"/>
      <w:pPr>
        <w:ind w:left="1685" w:hanging="425"/>
      </w:pPr>
    </w:lvl>
    <w:lvl w:ilvl="4" w:tentative="0">
      <w:start w:val="1"/>
      <w:numFmt w:val="decimal"/>
      <w:lvlText w:val="(%5)"/>
      <w:lvlJc w:val="left"/>
      <w:pPr>
        <w:ind w:left="2125" w:hanging="425"/>
      </w:pPr>
    </w:lvl>
    <w:lvl w:ilvl="5" w:tentative="0">
      <w:start w:val="1"/>
      <w:numFmt w:val="lowerLetter"/>
      <w:lvlText w:val="(%6)"/>
      <w:lvlJc w:val="left"/>
      <w:pPr>
        <w:ind w:left="2550" w:hanging="425"/>
      </w:pPr>
    </w:lvl>
    <w:lvl w:ilvl="6" w:tentative="0">
      <w:start w:val="1"/>
      <w:numFmt w:val="lowerRoman"/>
      <w:lvlText w:val="(%7)"/>
      <w:lvlJc w:val="left"/>
      <w:pPr>
        <w:ind w:left="2975" w:hanging="425"/>
      </w:pPr>
    </w:lvl>
    <w:lvl w:ilvl="7" w:tentative="0">
      <w:start w:val="1"/>
      <w:numFmt w:val="lowerLetter"/>
      <w:lvlText w:val="(%8)"/>
      <w:lvlJc w:val="left"/>
      <w:pPr>
        <w:ind w:left="3400" w:hanging="425"/>
      </w:pPr>
    </w:lvl>
    <w:lvl w:ilvl="8" w:tentative="0">
      <w:start w:val="1"/>
      <w:numFmt w:val="lowerRoman"/>
      <w:lvlText w:val="(%9)"/>
      <w:lvlJc w:val="left"/>
      <w:pPr>
        <w:ind w:left="3825" w:hanging="425"/>
      </w:pPr>
    </w:lvl>
  </w:abstractNum>
  <w:abstractNum w:abstractNumId="3">
    <w:nsid w:val="11C422CA"/>
    <w:multiLevelType w:val="singleLevel"/>
    <w:tmpl w:val="11C422CA"/>
    <w:lvl w:ilvl="0" w:tentative="0">
      <w:start w:val="5"/>
      <w:numFmt w:val="chineseCounting"/>
      <w:suff w:val="nothing"/>
      <w:lvlText w:val="%1、"/>
      <w:lvlJc w:val="left"/>
      <w:rPr>
        <w:rFonts w:hint="eastAsia"/>
      </w:rPr>
    </w:lvl>
  </w:abstractNum>
  <w:abstractNum w:abstractNumId="4">
    <w:nsid w:val="1C19591C"/>
    <w:multiLevelType w:val="singleLevel"/>
    <w:tmpl w:val="1C19591C"/>
    <w:lvl w:ilvl="0" w:tentative="0">
      <w:start w:val="3"/>
      <w:numFmt w:val="decimal"/>
      <w:suff w:val="nothing"/>
      <w:lvlText w:val="%1、"/>
      <w:lvlJc w:val="left"/>
    </w:lvl>
  </w:abstractNum>
  <w:abstractNum w:abstractNumId="5">
    <w:nsid w:val="241195A5"/>
    <w:multiLevelType w:val="singleLevel"/>
    <w:tmpl w:val="241195A5"/>
    <w:lvl w:ilvl="0" w:tentative="0">
      <w:start w:val="1"/>
      <w:numFmt w:val="decimal"/>
      <w:suff w:val="nothing"/>
      <w:lvlText w:val="（%1）"/>
      <w:lvlJc w:val="left"/>
    </w:lvl>
  </w:abstractNum>
  <w:abstractNum w:abstractNumId="6">
    <w:nsid w:val="3677033A"/>
    <w:multiLevelType w:val="singleLevel"/>
    <w:tmpl w:val="3677033A"/>
    <w:lvl w:ilvl="0" w:tentative="0">
      <w:start w:val="3"/>
      <w:numFmt w:val="decimal"/>
      <w:lvlText w:val="%1."/>
      <w:lvlJc w:val="left"/>
      <w:pPr>
        <w:tabs>
          <w:tab w:val="left" w:pos="312"/>
        </w:tabs>
      </w:pPr>
    </w:lvl>
  </w:abstractNum>
  <w:abstractNum w:abstractNumId="7">
    <w:nsid w:val="43FB6852"/>
    <w:multiLevelType w:val="singleLevel"/>
    <w:tmpl w:val="43FB6852"/>
    <w:lvl w:ilvl="0" w:tentative="0">
      <w:start w:val="7"/>
      <w:numFmt w:val="chineseCounting"/>
      <w:suff w:val="nothing"/>
      <w:lvlText w:val="%1、"/>
      <w:lvlJc w:val="left"/>
      <w:rPr>
        <w:rFonts w:hint="eastAsia"/>
        <w:b/>
        <w:bCs/>
      </w:rPr>
    </w:lvl>
  </w:abstractNum>
  <w:abstractNum w:abstractNumId="8">
    <w:nsid w:val="4AB89355"/>
    <w:multiLevelType w:val="singleLevel"/>
    <w:tmpl w:val="4AB89355"/>
    <w:lvl w:ilvl="0" w:tentative="0">
      <w:start w:val="6"/>
      <w:numFmt w:val="decimal"/>
      <w:suff w:val="nothing"/>
      <w:lvlText w:val="%1、"/>
      <w:lvlJc w:val="left"/>
    </w:lvl>
  </w:abstractNum>
  <w:abstractNum w:abstractNumId="9">
    <w:nsid w:val="5816ED9E"/>
    <w:multiLevelType w:val="singleLevel"/>
    <w:tmpl w:val="5816ED9E"/>
    <w:lvl w:ilvl="0" w:tentative="0">
      <w:start w:val="4"/>
      <w:numFmt w:val="chineseCounting"/>
      <w:suff w:val="space"/>
      <w:lvlText w:val="第%1章"/>
      <w:lvlJc w:val="left"/>
      <w:rPr>
        <w:sz w:val="36"/>
        <w:szCs w:val="36"/>
      </w:rPr>
    </w:lvl>
  </w:abstractNum>
  <w:num w:numId="1">
    <w:abstractNumId w:val="2"/>
  </w:num>
  <w:num w:numId="2">
    <w:abstractNumId w:val="8"/>
  </w:num>
  <w:num w:numId="3">
    <w:abstractNumId w:val="7"/>
  </w:num>
  <w:num w:numId="4">
    <w:abstractNumId w:val="6"/>
  </w:num>
  <w:num w:numId="5">
    <w:abstractNumId w:val="0"/>
  </w:num>
  <w:num w:numId="6">
    <w:abstractNumId w:val="3"/>
  </w:num>
  <w:num w:numId="7">
    <w:abstractNumId w:val="5"/>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yMjM5MTVkNjk0ZmI1OGJkMTliZGU3OTM2MzI1ZmMifQ=="/>
  </w:docVars>
  <w:rsids>
    <w:rsidRoot w:val="00000000"/>
    <w:rsid w:val="008E2A0E"/>
    <w:rsid w:val="00CF535D"/>
    <w:rsid w:val="01232133"/>
    <w:rsid w:val="01341807"/>
    <w:rsid w:val="01521C8D"/>
    <w:rsid w:val="019D73AC"/>
    <w:rsid w:val="02AE2989"/>
    <w:rsid w:val="04B60ED7"/>
    <w:rsid w:val="05E05ABA"/>
    <w:rsid w:val="05F31C91"/>
    <w:rsid w:val="06BC693B"/>
    <w:rsid w:val="06C93D09"/>
    <w:rsid w:val="06DA69AD"/>
    <w:rsid w:val="0737795B"/>
    <w:rsid w:val="07797F74"/>
    <w:rsid w:val="07B611C8"/>
    <w:rsid w:val="0878022B"/>
    <w:rsid w:val="099B68C7"/>
    <w:rsid w:val="09F9205B"/>
    <w:rsid w:val="0A405EB4"/>
    <w:rsid w:val="0AE71698"/>
    <w:rsid w:val="0AF10769"/>
    <w:rsid w:val="0B13248D"/>
    <w:rsid w:val="0B664CB3"/>
    <w:rsid w:val="0BD84435"/>
    <w:rsid w:val="0E601E8E"/>
    <w:rsid w:val="0E680D42"/>
    <w:rsid w:val="0FD91EF8"/>
    <w:rsid w:val="0FF00FEF"/>
    <w:rsid w:val="111D7BC2"/>
    <w:rsid w:val="11616F26"/>
    <w:rsid w:val="11991213"/>
    <w:rsid w:val="119F0BF7"/>
    <w:rsid w:val="12365128"/>
    <w:rsid w:val="124F62EA"/>
    <w:rsid w:val="12B409FA"/>
    <w:rsid w:val="12ED7A68"/>
    <w:rsid w:val="132D60B6"/>
    <w:rsid w:val="1380268A"/>
    <w:rsid w:val="14472368"/>
    <w:rsid w:val="14DF1632"/>
    <w:rsid w:val="14FE5E73"/>
    <w:rsid w:val="152534E9"/>
    <w:rsid w:val="15AF1BFE"/>
    <w:rsid w:val="16044CF0"/>
    <w:rsid w:val="1606331B"/>
    <w:rsid w:val="16826719"/>
    <w:rsid w:val="17654071"/>
    <w:rsid w:val="17E51656"/>
    <w:rsid w:val="18540BAD"/>
    <w:rsid w:val="18716A45"/>
    <w:rsid w:val="18891FE1"/>
    <w:rsid w:val="1A0933D9"/>
    <w:rsid w:val="1A3E4845"/>
    <w:rsid w:val="1BD619E1"/>
    <w:rsid w:val="1C493F61"/>
    <w:rsid w:val="1E620F84"/>
    <w:rsid w:val="1EA2723F"/>
    <w:rsid w:val="1F3D1928"/>
    <w:rsid w:val="1F923E71"/>
    <w:rsid w:val="1FF22B62"/>
    <w:rsid w:val="21380A48"/>
    <w:rsid w:val="213D605E"/>
    <w:rsid w:val="21AD6D40"/>
    <w:rsid w:val="231177A3"/>
    <w:rsid w:val="23256DAA"/>
    <w:rsid w:val="237C2E6E"/>
    <w:rsid w:val="23CE7442"/>
    <w:rsid w:val="244B1FE4"/>
    <w:rsid w:val="249917FE"/>
    <w:rsid w:val="26DD1E76"/>
    <w:rsid w:val="276912C1"/>
    <w:rsid w:val="28243AD4"/>
    <w:rsid w:val="286B525F"/>
    <w:rsid w:val="2895052E"/>
    <w:rsid w:val="28A54C15"/>
    <w:rsid w:val="28C130D1"/>
    <w:rsid w:val="28F434A6"/>
    <w:rsid w:val="29024D10"/>
    <w:rsid w:val="29626662"/>
    <w:rsid w:val="29916830"/>
    <w:rsid w:val="2A5F0DF4"/>
    <w:rsid w:val="2BAF763B"/>
    <w:rsid w:val="2CAB3126"/>
    <w:rsid w:val="2CBE62A5"/>
    <w:rsid w:val="2D5E35E4"/>
    <w:rsid w:val="2D947006"/>
    <w:rsid w:val="2DF31F7F"/>
    <w:rsid w:val="2E903C71"/>
    <w:rsid w:val="2E913546"/>
    <w:rsid w:val="2E944954"/>
    <w:rsid w:val="2EBD258D"/>
    <w:rsid w:val="2F776BDF"/>
    <w:rsid w:val="309A4933"/>
    <w:rsid w:val="310E0E7D"/>
    <w:rsid w:val="31B9528D"/>
    <w:rsid w:val="3240150B"/>
    <w:rsid w:val="32E0684A"/>
    <w:rsid w:val="33694A91"/>
    <w:rsid w:val="339B5919"/>
    <w:rsid w:val="34A118FF"/>
    <w:rsid w:val="34E75607"/>
    <w:rsid w:val="35044A71"/>
    <w:rsid w:val="351729F7"/>
    <w:rsid w:val="35470E02"/>
    <w:rsid w:val="36A77DAA"/>
    <w:rsid w:val="372B09DB"/>
    <w:rsid w:val="39EE0168"/>
    <w:rsid w:val="3A9B7C26"/>
    <w:rsid w:val="3ACC6031"/>
    <w:rsid w:val="3B1B2B15"/>
    <w:rsid w:val="3B3140E6"/>
    <w:rsid w:val="3B844B5E"/>
    <w:rsid w:val="3B954675"/>
    <w:rsid w:val="3C250DE8"/>
    <w:rsid w:val="3C541AD9"/>
    <w:rsid w:val="3E6A27CF"/>
    <w:rsid w:val="3FD80FD4"/>
    <w:rsid w:val="402C6650"/>
    <w:rsid w:val="41EC6FB9"/>
    <w:rsid w:val="42A6360C"/>
    <w:rsid w:val="42BF46CD"/>
    <w:rsid w:val="42CE4432"/>
    <w:rsid w:val="439B2A45"/>
    <w:rsid w:val="44022AC4"/>
    <w:rsid w:val="440D3A32"/>
    <w:rsid w:val="44890DCE"/>
    <w:rsid w:val="44EE4DF6"/>
    <w:rsid w:val="4561381A"/>
    <w:rsid w:val="45F621B4"/>
    <w:rsid w:val="45FD1795"/>
    <w:rsid w:val="46476EB4"/>
    <w:rsid w:val="47CD33E9"/>
    <w:rsid w:val="47F15329"/>
    <w:rsid w:val="47F60B91"/>
    <w:rsid w:val="486F26F2"/>
    <w:rsid w:val="48E46C3C"/>
    <w:rsid w:val="4ABD14F2"/>
    <w:rsid w:val="4C72084D"/>
    <w:rsid w:val="4CE27CEC"/>
    <w:rsid w:val="4DBF1A26"/>
    <w:rsid w:val="4DEB6377"/>
    <w:rsid w:val="4EC56BC8"/>
    <w:rsid w:val="4F513C6F"/>
    <w:rsid w:val="500E488E"/>
    <w:rsid w:val="504B134F"/>
    <w:rsid w:val="50600E53"/>
    <w:rsid w:val="50C317B4"/>
    <w:rsid w:val="51340035"/>
    <w:rsid w:val="516A7EFA"/>
    <w:rsid w:val="519136D9"/>
    <w:rsid w:val="519E3DF4"/>
    <w:rsid w:val="51F874FA"/>
    <w:rsid w:val="52377DDC"/>
    <w:rsid w:val="542919A7"/>
    <w:rsid w:val="54624EB9"/>
    <w:rsid w:val="550D12C8"/>
    <w:rsid w:val="555F041F"/>
    <w:rsid w:val="556829A3"/>
    <w:rsid w:val="565D002E"/>
    <w:rsid w:val="56D332B2"/>
    <w:rsid w:val="576158FB"/>
    <w:rsid w:val="57D4431F"/>
    <w:rsid w:val="5855720E"/>
    <w:rsid w:val="58F5279F"/>
    <w:rsid w:val="5952374E"/>
    <w:rsid w:val="5955323E"/>
    <w:rsid w:val="5A492DA3"/>
    <w:rsid w:val="5B9E2C7A"/>
    <w:rsid w:val="5C5F09DC"/>
    <w:rsid w:val="5CCF0EF5"/>
    <w:rsid w:val="5D63417B"/>
    <w:rsid w:val="5D6D4FFA"/>
    <w:rsid w:val="5DD9443E"/>
    <w:rsid w:val="5DEA3113"/>
    <w:rsid w:val="5E420235"/>
    <w:rsid w:val="5F5F0972"/>
    <w:rsid w:val="5FD4310E"/>
    <w:rsid w:val="60566219"/>
    <w:rsid w:val="608F5287"/>
    <w:rsid w:val="60C842D7"/>
    <w:rsid w:val="615362B5"/>
    <w:rsid w:val="62A543B1"/>
    <w:rsid w:val="63B55005"/>
    <w:rsid w:val="67217539"/>
    <w:rsid w:val="67C223E6"/>
    <w:rsid w:val="684E5A28"/>
    <w:rsid w:val="68633281"/>
    <w:rsid w:val="692C63AE"/>
    <w:rsid w:val="693B7D5A"/>
    <w:rsid w:val="69C53AC8"/>
    <w:rsid w:val="6A4B221F"/>
    <w:rsid w:val="6ADA17F5"/>
    <w:rsid w:val="6AEC5AF7"/>
    <w:rsid w:val="6B56531F"/>
    <w:rsid w:val="6CD52274"/>
    <w:rsid w:val="6E247AA7"/>
    <w:rsid w:val="6E86335A"/>
    <w:rsid w:val="6F9500AA"/>
    <w:rsid w:val="6FCF744E"/>
    <w:rsid w:val="6FDD4DE6"/>
    <w:rsid w:val="709C0CFF"/>
    <w:rsid w:val="7104186B"/>
    <w:rsid w:val="7174367C"/>
    <w:rsid w:val="720158B9"/>
    <w:rsid w:val="72A526E9"/>
    <w:rsid w:val="73214465"/>
    <w:rsid w:val="762A7AD4"/>
    <w:rsid w:val="7725204A"/>
    <w:rsid w:val="77275DC2"/>
    <w:rsid w:val="77C67389"/>
    <w:rsid w:val="77E837A3"/>
    <w:rsid w:val="78520C1D"/>
    <w:rsid w:val="7855070D"/>
    <w:rsid w:val="78971B1D"/>
    <w:rsid w:val="78D45AD6"/>
    <w:rsid w:val="78EB7A9A"/>
    <w:rsid w:val="79752E15"/>
    <w:rsid w:val="798C63B0"/>
    <w:rsid w:val="79E87A8A"/>
    <w:rsid w:val="7A1F0FD2"/>
    <w:rsid w:val="7A2A00A3"/>
    <w:rsid w:val="7B0C59FB"/>
    <w:rsid w:val="7B95779E"/>
    <w:rsid w:val="7B9A3006"/>
    <w:rsid w:val="7BDD1145"/>
    <w:rsid w:val="7C067F4F"/>
    <w:rsid w:val="7C5533D1"/>
    <w:rsid w:val="7CD75B94"/>
    <w:rsid w:val="7D0D15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6"/>
    <w:qFormat/>
    <w:uiPriority w:val="99"/>
    <w:pPr>
      <w:keepNext/>
      <w:keepLines/>
      <w:numPr>
        <w:ilvl w:val="0"/>
        <w:numId w:val="1"/>
      </w:numPr>
      <w:adjustRightInd w:val="0"/>
      <w:spacing w:before="160" w:after="160" w:line="160" w:lineRule="atLeast"/>
      <w:textAlignment w:val="baseline"/>
      <w:outlineLvl w:val="0"/>
    </w:pPr>
    <w:rPr>
      <w:rFonts w:ascii="黑体" w:eastAsia="黑体"/>
      <w:kern w:val="44"/>
      <w:sz w:val="32"/>
      <w:szCs w:val="32"/>
    </w:rPr>
  </w:style>
  <w:style w:type="paragraph" w:styleId="4">
    <w:name w:val="heading 2"/>
    <w:basedOn w:val="1"/>
    <w:next w:val="1"/>
    <w:link w:val="40"/>
    <w:qFormat/>
    <w:uiPriority w:val="99"/>
    <w:pPr>
      <w:keepNext/>
      <w:keepLines/>
      <w:numPr>
        <w:ilvl w:val="1"/>
        <w:numId w:val="1"/>
      </w:numPr>
      <w:adjustRightInd w:val="0"/>
      <w:spacing w:before="160" w:after="160" w:line="160" w:lineRule="atLeast"/>
      <w:textAlignment w:val="baseline"/>
      <w:outlineLvl w:val="1"/>
    </w:pPr>
    <w:rPr>
      <w:rFonts w:ascii="黑体" w:hAnsi="Arial" w:eastAsia="黑体"/>
      <w:kern w:val="0"/>
      <w:sz w:val="28"/>
      <w:szCs w:val="28"/>
    </w:rPr>
  </w:style>
  <w:style w:type="paragraph" w:styleId="5">
    <w:name w:val="heading 3"/>
    <w:basedOn w:val="1"/>
    <w:next w:val="1"/>
    <w:qFormat/>
    <w:uiPriority w:val="99"/>
    <w:pPr>
      <w:keepNext/>
      <w:keepLines/>
      <w:numPr>
        <w:ilvl w:val="2"/>
        <w:numId w:val="1"/>
      </w:numPr>
      <w:adjustRightInd w:val="0"/>
      <w:spacing w:before="160" w:after="160" w:line="160" w:lineRule="atLeast"/>
      <w:textAlignment w:val="baseline"/>
      <w:outlineLvl w:val="2"/>
    </w:pPr>
    <w:rPr>
      <w:rFonts w:ascii="黑体" w:eastAsia="黑体"/>
      <w:kern w:val="0"/>
      <w:sz w:val="28"/>
      <w:szCs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6">
    <w:name w:val="Normal Indent"/>
    <w:basedOn w:val="1"/>
    <w:unhideWhenUsed/>
    <w:qFormat/>
    <w:uiPriority w:val="99"/>
    <w:pPr>
      <w:ind w:firstLine="420"/>
    </w:pPr>
  </w:style>
  <w:style w:type="paragraph" w:styleId="7">
    <w:name w:val="caption"/>
    <w:basedOn w:val="1"/>
    <w:next w:val="1"/>
    <w:qFormat/>
    <w:uiPriority w:val="0"/>
    <w:rPr>
      <w:rFonts w:ascii="Cambria" w:hAnsi="Cambria" w:eastAsia="黑体"/>
      <w:sz w:val="20"/>
      <w:szCs w:val="20"/>
    </w:rPr>
  </w:style>
  <w:style w:type="paragraph" w:styleId="8">
    <w:name w:val="Body Text"/>
    <w:basedOn w:val="1"/>
    <w:next w:val="1"/>
    <w:qFormat/>
    <w:uiPriority w:val="99"/>
    <w:pPr>
      <w:spacing w:after="120"/>
    </w:pPr>
    <w:rPr>
      <w:kern w:val="0"/>
      <w:sz w:val="20"/>
      <w:szCs w:val="20"/>
    </w:rPr>
  </w:style>
  <w:style w:type="paragraph" w:styleId="9">
    <w:name w:val="Body Text Indent"/>
    <w:basedOn w:val="1"/>
    <w:next w:val="10"/>
    <w:semiHidden/>
    <w:qFormat/>
    <w:uiPriority w:val="99"/>
    <w:pPr>
      <w:spacing w:after="120"/>
      <w:ind w:left="420" w:leftChars="200"/>
    </w:pPr>
    <w:rPr>
      <w:kern w:val="0"/>
      <w:sz w:val="20"/>
    </w:rPr>
  </w:style>
  <w:style w:type="paragraph" w:styleId="10">
    <w:name w:val="envelope return"/>
    <w:basedOn w:val="1"/>
    <w:qFormat/>
    <w:uiPriority w:val="0"/>
    <w:pPr>
      <w:snapToGrid w:val="0"/>
    </w:pPr>
    <w:rPr>
      <w:rFonts w:ascii="Arial" w:hAnsi="Arial"/>
    </w:rPr>
  </w:style>
  <w:style w:type="paragraph" w:styleId="11">
    <w:name w:val="Plain Text"/>
    <w:basedOn w:val="1"/>
    <w:next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12">
    <w:name w:val="Date"/>
    <w:basedOn w:val="1"/>
    <w:next w:val="1"/>
    <w:qFormat/>
    <w:uiPriority w:val="99"/>
    <w:rPr>
      <w:rFonts w:ascii="宋体"/>
      <w:kern w:val="0"/>
      <w:sz w:val="32"/>
      <w:szCs w:val="32"/>
    </w:rPr>
  </w:style>
  <w:style w:type="paragraph" w:styleId="13">
    <w:name w:val="Body Text Indent 2"/>
    <w:basedOn w:val="1"/>
    <w:next w:val="11"/>
    <w:qFormat/>
    <w:uiPriority w:val="99"/>
    <w:pPr>
      <w:ind w:firstLine="630"/>
    </w:pPr>
    <w:rPr>
      <w:rFonts w:ascii="宋体"/>
      <w:kern w:val="0"/>
      <w:sz w:val="32"/>
      <w:szCs w:val="32"/>
    </w:rPr>
  </w:style>
  <w:style w:type="paragraph" w:styleId="14">
    <w:name w:val="footer"/>
    <w:basedOn w:val="1"/>
    <w:qFormat/>
    <w:uiPriority w:val="99"/>
    <w:pPr>
      <w:tabs>
        <w:tab w:val="center" w:pos="4153"/>
        <w:tab w:val="right" w:pos="8306"/>
      </w:tabs>
      <w:snapToGrid w:val="0"/>
      <w:jc w:val="left"/>
    </w:pPr>
    <w:rPr>
      <w:kern w:val="0"/>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pPr>
      <w:tabs>
        <w:tab w:val="right" w:leader="dot" w:pos="9628"/>
      </w:tabs>
      <w:spacing w:line="276" w:lineRule="auto"/>
    </w:pPr>
  </w:style>
  <w:style w:type="paragraph" w:styleId="17">
    <w:name w:val="Subtitle"/>
    <w:basedOn w:val="1"/>
    <w:next w:val="1"/>
    <w:qFormat/>
    <w:uiPriority w:val="99"/>
    <w:pPr>
      <w:wordWrap w:val="0"/>
      <w:spacing w:before="100" w:beforeAutospacing="1" w:after="60"/>
      <w:jc w:val="center"/>
    </w:pPr>
    <w:rPr>
      <w:sz w:val="24"/>
      <w:szCs w:val="24"/>
    </w:rPr>
  </w:style>
  <w:style w:type="paragraph" w:styleId="18">
    <w:name w:val="Body Text 2"/>
    <w:basedOn w:val="1"/>
    <w:next w:val="8"/>
    <w:semiHidden/>
    <w:qFormat/>
    <w:uiPriority w:val="99"/>
    <w:pPr>
      <w:spacing w:after="120" w:line="480" w:lineRule="auto"/>
    </w:pPr>
    <w:rPr>
      <w:kern w:val="0"/>
      <w:sz w:val="20"/>
    </w:rPr>
  </w:style>
  <w:style w:type="paragraph" w:styleId="19">
    <w:name w:val="Normal (Web)"/>
    <w:basedOn w:val="1"/>
    <w:qFormat/>
    <w:uiPriority w:val="99"/>
    <w:pPr>
      <w:spacing w:beforeAutospacing="1" w:afterAutospacing="1"/>
      <w:jc w:val="left"/>
    </w:pPr>
    <w:rPr>
      <w:kern w:val="0"/>
      <w:sz w:val="24"/>
      <w:szCs w:val="24"/>
    </w:rPr>
  </w:style>
  <w:style w:type="paragraph" w:styleId="20">
    <w:name w:val="Body Text First Indent"/>
    <w:basedOn w:val="8"/>
    <w:qFormat/>
    <w:uiPriority w:val="99"/>
    <w:pPr>
      <w:spacing w:line="360" w:lineRule="auto"/>
      <w:ind w:firstLine="976" w:firstLineChars="200"/>
    </w:pPr>
    <w:rPr>
      <w:sz w:val="28"/>
      <w:szCs w:val="28"/>
    </w:rPr>
  </w:style>
  <w:style w:type="paragraph" w:styleId="21">
    <w:name w:val="Body Text First Indent 2"/>
    <w:basedOn w:val="9"/>
    <w:qFormat/>
    <w:uiPriority w:val="99"/>
    <w:pPr>
      <w:ind w:firstLine="420" w:firstLineChars="200"/>
    </w:pPr>
  </w:style>
  <w:style w:type="character" w:styleId="24">
    <w:name w:val="Strong"/>
    <w:basedOn w:val="23"/>
    <w:qFormat/>
    <w:uiPriority w:val="22"/>
    <w:rPr>
      <w:b/>
    </w:rPr>
  </w:style>
  <w:style w:type="character" w:styleId="25">
    <w:name w:val="Hyperlink"/>
    <w:basedOn w:val="23"/>
    <w:qFormat/>
    <w:uiPriority w:val="99"/>
    <w:rPr>
      <w:rFonts w:ascii="微软雅黑" w:hAnsi="微软雅黑" w:eastAsia="微软雅黑" w:cs="微软雅黑"/>
      <w:color w:val="auto"/>
      <w:u w:val="single"/>
    </w:rPr>
  </w:style>
  <w:style w:type="character" w:customStyle="1" w:styleId="26">
    <w:name w:val="标题 1 Char"/>
    <w:link w:val="3"/>
    <w:qFormat/>
    <w:uiPriority w:val="99"/>
    <w:rPr>
      <w:rFonts w:ascii="黑体" w:eastAsia="黑体"/>
      <w:kern w:val="44"/>
      <w:sz w:val="32"/>
      <w:szCs w:val="32"/>
    </w:rPr>
  </w:style>
  <w:style w:type="paragraph" w:customStyle="1" w:styleId="27">
    <w:name w:val="我的正文"/>
    <w:basedOn w:val="9"/>
    <w:qFormat/>
    <w:uiPriority w:val="0"/>
    <w:pPr>
      <w:spacing w:line="500" w:lineRule="exact"/>
      <w:ind w:firstLine="480"/>
    </w:pPr>
    <w:rPr>
      <w:rFonts w:ascii="Calibri" w:hAnsi="Calibri" w:eastAsia="宋体" w:cs="Times New Roman"/>
      <w:sz w:val="24"/>
      <w:szCs w:val="20"/>
    </w:rPr>
  </w:style>
  <w:style w:type="paragraph" w:customStyle="1" w:styleId="28">
    <w:name w:val="BodyText1I"/>
    <w:basedOn w:val="29"/>
    <w:qFormat/>
    <w:uiPriority w:val="99"/>
    <w:pPr>
      <w:ind w:firstLine="420" w:firstLineChars="100"/>
    </w:pPr>
  </w:style>
  <w:style w:type="paragraph" w:customStyle="1" w:styleId="29">
    <w:name w:val="BodyText"/>
    <w:basedOn w:val="1"/>
    <w:qFormat/>
    <w:uiPriority w:val="0"/>
    <w:pPr>
      <w:spacing w:after="120"/>
    </w:pPr>
    <w:rPr>
      <w:rFonts w:ascii="ˎ̥" w:hAnsi="ˎ̥"/>
      <w:color w:val="51585D"/>
    </w:rPr>
  </w:style>
  <w:style w:type="paragraph" w:styleId="30">
    <w:name w:val="List Paragraph"/>
    <w:basedOn w:val="1"/>
    <w:qFormat/>
    <w:uiPriority w:val="34"/>
    <w:pPr>
      <w:ind w:firstLine="420" w:firstLineChars="200"/>
    </w:pPr>
    <w:rPr>
      <w:rFonts w:ascii="Calibri" w:hAnsi="Calibri"/>
      <w:kern w:val="0"/>
      <w:sz w:val="22"/>
      <w:szCs w:val="20"/>
    </w:rPr>
  </w:style>
  <w:style w:type="paragraph" w:customStyle="1" w:styleId="31">
    <w:name w:val="正文空2格  1."/>
    <w:basedOn w:val="1"/>
    <w:qFormat/>
    <w:uiPriority w:val="99"/>
    <w:pPr>
      <w:ind w:firstLine="480" w:firstLineChars="200"/>
    </w:pPr>
    <w:rPr>
      <w:sz w:val="28"/>
      <w:szCs w:val="28"/>
    </w:rPr>
  </w:style>
  <w:style w:type="paragraph" w:customStyle="1" w:styleId="32">
    <w:name w:val="cjk"/>
    <w:basedOn w:val="1"/>
    <w:qFormat/>
    <w:uiPriority w:val="99"/>
    <w:pPr>
      <w:widowControl/>
      <w:spacing w:line="480" w:lineRule="auto"/>
      <w:jc w:val="left"/>
    </w:pPr>
    <w:rPr>
      <w:rFonts w:ascii="宋体" w:hAnsi="宋体" w:cs="宋体"/>
      <w:kern w:val="0"/>
      <w:sz w:val="24"/>
      <w:szCs w:val="24"/>
    </w:rPr>
  </w:style>
  <w:style w:type="paragraph" w:customStyle="1" w:styleId="33">
    <w:name w:val="文档正文"/>
    <w:basedOn w:val="1"/>
    <w:qFormat/>
    <w:uiPriority w:val="99"/>
    <w:pPr>
      <w:adjustRightInd w:val="0"/>
      <w:spacing w:line="480" w:lineRule="atLeast"/>
      <w:ind w:firstLine="567"/>
      <w:textAlignment w:val="baseline"/>
    </w:pPr>
    <w:rPr>
      <w:rFonts w:ascii="仿宋_GB2312" w:eastAsia="仿宋_GB2312" w:cs="仿宋_GB2312"/>
      <w:kern w:val="0"/>
      <w:sz w:val="28"/>
      <w:szCs w:val="28"/>
    </w:rPr>
  </w:style>
  <w:style w:type="character" w:customStyle="1" w:styleId="34">
    <w:name w:val="标题 2 字符1"/>
    <w:qFormat/>
    <w:uiPriority w:val="0"/>
    <w:rPr>
      <w:rFonts w:ascii="Arial" w:hAnsi="Arial" w:eastAsia="宋体" w:cs="Times New Roman"/>
      <w:b/>
      <w:bCs/>
      <w:kern w:val="0"/>
      <w:sz w:val="24"/>
      <w:szCs w:val="32"/>
    </w:rPr>
  </w:style>
  <w:style w:type="paragraph" w:customStyle="1" w:styleId="35">
    <w:name w:val="p0"/>
    <w:basedOn w:val="1"/>
    <w:qFormat/>
    <w:uiPriority w:val="99"/>
    <w:pPr>
      <w:widowControl/>
    </w:pPr>
    <w:rPr>
      <w:kern w:val="0"/>
    </w:rPr>
  </w:style>
  <w:style w:type="paragraph" w:customStyle="1" w:styleId="36">
    <w:name w:val="Default"/>
    <w:next w:val="1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无间隔1"/>
    <w:basedOn w:val="1"/>
    <w:next w:val="7"/>
    <w:qFormat/>
    <w:uiPriority w:val="99"/>
    <w:pPr>
      <w:spacing w:line="400" w:lineRule="exact"/>
    </w:pPr>
    <w:rPr>
      <w:sz w:val="24"/>
    </w:rPr>
  </w:style>
  <w:style w:type="character" w:customStyle="1" w:styleId="38">
    <w:name w:val="font51"/>
    <w:basedOn w:val="23"/>
    <w:qFormat/>
    <w:uiPriority w:val="0"/>
    <w:rPr>
      <w:rFonts w:hint="eastAsia" w:ascii="宋体" w:hAnsi="宋体" w:eastAsia="宋体" w:cs="宋体"/>
      <w:color w:val="000000"/>
      <w:sz w:val="22"/>
      <w:szCs w:val="22"/>
      <w:u w:val="none"/>
    </w:rPr>
  </w:style>
  <w:style w:type="character" w:customStyle="1" w:styleId="39">
    <w:name w:val="font61"/>
    <w:basedOn w:val="23"/>
    <w:qFormat/>
    <w:uiPriority w:val="0"/>
    <w:rPr>
      <w:rFonts w:hint="default" w:ascii="Times New Roman" w:hAnsi="Times New Roman" w:cs="Times New Roman"/>
      <w:color w:val="000000"/>
      <w:sz w:val="22"/>
      <w:szCs w:val="22"/>
      <w:u w:val="none"/>
    </w:rPr>
  </w:style>
  <w:style w:type="character" w:customStyle="1" w:styleId="40">
    <w:name w:val="标题 2 Char"/>
    <w:link w:val="4"/>
    <w:uiPriority w:val="99"/>
    <w:rPr>
      <w:rFonts w:ascii="黑体" w:hAnsi="Arial" w:eastAsia="黑体"/>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178</Words>
  <Characters>189</Characters>
  <Lines>0</Lines>
  <Paragraphs>0</Paragraphs>
  <TotalTime>32</TotalTime>
  <ScaleCrop>false</ScaleCrop>
  <LinksUpToDate>false</LinksUpToDate>
  <CharactersWithSpaces>232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2023-10-16T07:29:00Z</dcterms:created>
  <dc:creator>ZBLenovo</dc:creator>
  <cp:lastModifiedBy>佳</cp:lastModifiedBy>
  <cp:lastPrinted>2025-01-21T07:03:15Z</cp:lastPrinted>
  <dcterms:modified xsi:type="dcterms:W3CDTF">2025-01-21T07:55:29Z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1AC06590A9AE479F811767055D6E2AD2_13</vt:lpwstr>
  </property>
  <property fmtid="{D5CDD505-2E9C-101B-9397-08002B2CF9AE}" pid="4" name="KSOTemplateDocerSaveRecord">
    <vt:lpwstr>eyJoZGlkIjoiMjcyMjM5MTVkNjk0ZmI1OGJkMTliZGU3OTM2MzI1ZmMiLCJ1c2VySWQiOiIzMDEyNzA4NDUifQ==</vt:lpwstr>
  </property>
</Properties>
</file>