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8F158">
      <w:pPr>
        <w:spacing w:line="360" w:lineRule="auto"/>
        <w:jc w:val="center"/>
        <w:rPr>
          <w:rFonts w:hint="eastAsia" w:ascii="宋体" w:hAnsi="宋体" w:cs="宋体"/>
          <w:b/>
          <w:bCs w:val="0"/>
          <w:sz w:val="44"/>
          <w:szCs w:val="44"/>
          <w:highlight w:val="none"/>
          <w:lang w:val="en-US" w:eastAsia="zh-CN"/>
        </w:rPr>
      </w:pPr>
    </w:p>
    <w:p w14:paraId="7BEE1FCA">
      <w:pPr>
        <w:spacing w:line="360" w:lineRule="auto"/>
        <w:jc w:val="center"/>
        <w:rPr>
          <w:rFonts w:hint="eastAsia" w:ascii="宋体" w:hAnsi="宋体" w:eastAsia="宋体" w:cs="宋体"/>
          <w:b/>
          <w:bCs w:val="0"/>
          <w:sz w:val="44"/>
          <w:szCs w:val="44"/>
          <w:highlight w:val="none"/>
          <w:lang w:val="en-US" w:eastAsia="zh-CN"/>
        </w:rPr>
      </w:pPr>
      <w:r>
        <w:rPr>
          <w:rFonts w:hint="eastAsia" w:ascii="宋体" w:hAnsi="宋体" w:cs="宋体"/>
          <w:b/>
          <w:bCs w:val="0"/>
          <w:sz w:val="44"/>
          <w:szCs w:val="44"/>
          <w:highlight w:val="none"/>
          <w:lang w:val="en-US" w:eastAsia="zh-CN"/>
        </w:rPr>
        <w:t>民权县人民医院新院区综合能力提升医疗设备采购项目</w:t>
      </w:r>
      <w:r>
        <w:rPr>
          <w:rFonts w:hint="eastAsia" w:ascii="宋体" w:hAnsi="宋体" w:cs="宋体"/>
          <w:b/>
          <w:bCs w:val="0"/>
          <w:sz w:val="44"/>
          <w:szCs w:val="44"/>
          <w:highlight w:val="none"/>
          <w:lang w:val="en-US" w:eastAsia="zh-CN"/>
        </w:rPr>
        <w:tab/>
      </w:r>
    </w:p>
    <w:p w14:paraId="29EED0DC">
      <w:pPr>
        <w:spacing w:line="360" w:lineRule="auto"/>
        <w:jc w:val="center"/>
        <w:rPr>
          <w:rFonts w:hint="eastAsia" w:ascii="宋体" w:hAnsi="宋体" w:eastAsia="宋体" w:cs="宋体"/>
          <w:b/>
          <w:bCs w:val="0"/>
          <w:sz w:val="72"/>
          <w:szCs w:val="72"/>
          <w:highlight w:val="none"/>
          <w:lang w:val="en-US" w:eastAsia="zh-CN"/>
        </w:rPr>
      </w:pPr>
    </w:p>
    <w:p w14:paraId="74ED28F3">
      <w:pPr>
        <w:pStyle w:val="1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s="宋体"/>
          <w:b/>
          <w:bCs w:val="0"/>
          <w:kern w:val="2"/>
          <w:sz w:val="56"/>
          <w:szCs w:val="56"/>
          <w:highlight w:val="none"/>
          <w:lang w:val="en-US" w:eastAsia="zh-CN" w:bidi="ar-SA"/>
        </w:rPr>
      </w:pPr>
    </w:p>
    <w:p w14:paraId="5133195D">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b/>
          <w:sz w:val="36"/>
          <w:szCs w:val="44"/>
          <w:highlight w:val="none"/>
          <w:lang w:val="en-US" w:eastAsia="zh-CN"/>
        </w:rPr>
      </w:pPr>
      <w:r>
        <w:rPr>
          <w:rFonts w:hint="eastAsia" w:cs="宋体"/>
          <w:b/>
          <w:bCs w:val="0"/>
          <w:kern w:val="2"/>
          <w:sz w:val="56"/>
          <w:szCs w:val="56"/>
          <w:highlight w:val="none"/>
          <w:lang w:val="en-US" w:eastAsia="zh-CN" w:bidi="ar-SA"/>
        </w:rPr>
        <w:t>招标文件</w:t>
      </w:r>
      <w:r>
        <w:rPr>
          <w:rFonts w:hint="eastAsia" w:ascii="宋体" w:hAnsi="宋体" w:eastAsia="宋体" w:cs="宋体"/>
          <w:b/>
          <w:bCs w:val="0"/>
          <w:kern w:val="2"/>
          <w:sz w:val="56"/>
          <w:szCs w:val="56"/>
          <w:highlight w:val="none"/>
          <w:lang w:val="en-US" w:eastAsia="zh-CN" w:bidi="ar-SA"/>
        </w:rPr>
        <w:t xml:space="preserve"> </w:t>
      </w:r>
      <w:r>
        <w:rPr>
          <w:rFonts w:hint="eastAsia" w:hAnsi="宋体"/>
          <w:b/>
          <w:sz w:val="36"/>
          <w:szCs w:val="44"/>
          <w:highlight w:val="none"/>
          <w:lang w:val="en-US" w:eastAsia="zh-CN"/>
        </w:rPr>
        <w:t xml:space="preserve">  </w:t>
      </w:r>
    </w:p>
    <w:p w14:paraId="75EFA9BA">
      <w:pPr>
        <w:spacing w:line="360" w:lineRule="auto"/>
        <w:ind w:firstLine="1080" w:firstLineChars="300"/>
        <w:rPr>
          <w:rFonts w:hint="default" w:hAnsi="宋体" w:eastAsia="宋体"/>
          <w:b/>
          <w:sz w:val="36"/>
          <w:szCs w:val="44"/>
          <w:highlight w:val="none"/>
          <w:lang w:val="en-US" w:eastAsia="zh-CN"/>
        </w:rPr>
      </w:pPr>
      <w:r>
        <w:rPr>
          <w:rFonts w:hint="eastAsia" w:hAnsi="宋体"/>
          <w:b/>
          <w:sz w:val="36"/>
          <w:szCs w:val="44"/>
          <w:highlight w:val="none"/>
          <w:lang w:val="en-US" w:eastAsia="zh-CN"/>
        </w:rPr>
        <w:t xml:space="preserve">          </w:t>
      </w:r>
    </w:p>
    <w:p w14:paraId="7C820E92">
      <w:pPr>
        <w:spacing w:line="360" w:lineRule="auto"/>
        <w:jc w:val="center"/>
        <w:rPr>
          <w:rFonts w:hint="eastAsia" w:hAnsi="宋体"/>
          <w:b/>
          <w:sz w:val="36"/>
          <w:szCs w:val="44"/>
          <w:highlight w:val="none"/>
        </w:rPr>
      </w:pPr>
      <w:r>
        <w:rPr>
          <w:rFonts w:hint="eastAsia" w:ascii="宋体" w:hAnsi="宋体" w:eastAsia="宋体" w:cs="宋体"/>
          <w:b/>
          <w:sz w:val="44"/>
          <w:szCs w:val="44"/>
          <w:highlight w:val="none"/>
          <w:lang w:val="en-US" w:bidi="ar-SA"/>
        </w:rPr>
        <w:drawing>
          <wp:inline distT="0" distB="0" distL="114300" distR="114300">
            <wp:extent cx="2023110" cy="1870075"/>
            <wp:effectExtent l="0" t="0" r="8890" b="9525"/>
            <wp:docPr id="2" name="图片 1" descr="1652262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52262355(1)"/>
                    <pic:cNvPicPr>
                      <a:picLocks noChangeAspect="1"/>
                    </pic:cNvPicPr>
                  </pic:nvPicPr>
                  <pic:blipFill>
                    <a:blip r:embed="rId16"/>
                    <a:stretch>
                      <a:fillRect/>
                    </a:stretch>
                  </pic:blipFill>
                  <pic:spPr>
                    <a:xfrm>
                      <a:off x="0" y="0"/>
                      <a:ext cx="2023110" cy="1870075"/>
                    </a:xfrm>
                    <a:prstGeom prst="rect">
                      <a:avLst/>
                    </a:prstGeom>
                    <a:noFill/>
                    <a:ln>
                      <a:noFill/>
                    </a:ln>
                  </pic:spPr>
                </pic:pic>
              </a:graphicData>
            </a:graphic>
          </wp:inline>
        </w:drawing>
      </w:r>
    </w:p>
    <w:p w14:paraId="17752C98">
      <w:pPr>
        <w:pStyle w:val="26"/>
        <w:jc w:val="both"/>
        <w:rPr>
          <w:rFonts w:hint="default" w:eastAsia="宋体"/>
          <w:highlight w:val="none"/>
          <w:lang w:val="en-US" w:eastAsia="zh-CN"/>
        </w:rPr>
      </w:pPr>
      <w:bookmarkStart w:id="75" w:name="_GoBack"/>
      <w:bookmarkEnd w:id="75"/>
    </w:p>
    <w:p w14:paraId="339356C6">
      <w:pPr>
        <w:spacing w:line="360" w:lineRule="auto"/>
        <w:ind w:firstLine="1080" w:firstLineChars="300"/>
        <w:rPr>
          <w:rFonts w:hint="eastAsia" w:hAnsi="宋体"/>
          <w:b/>
          <w:sz w:val="36"/>
          <w:szCs w:val="44"/>
          <w:highlight w:val="none"/>
        </w:rPr>
      </w:pPr>
    </w:p>
    <w:p w14:paraId="3B501B30">
      <w:pPr>
        <w:spacing w:line="480" w:lineRule="auto"/>
        <w:jc w:val="both"/>
        <w:rPr>
          <w:rFonts w:hint="eastAsia" w:ascii="宋体" w:hAnsi="宋体" w:eastAsia="宋体" w:cs="宋体"/>
          <w:b/>
          <w:bCs w:val="0"/>
          <w:sz w:val="32"/>
          <w:szCs w:val="40"/>
          <w:highlight w:val="none"/>
          <w:lang w:val="en-US" w:eastAsia="zh-CN"/>
        </w:rPr>
      </w:pPr>
    </w:p>
    <w:p w14:paraId="765892C6">
      <w:pPr>
        <w:spacing w:line="480" w:lineRule="auto"/>
        <w:jc w:val="both"/>
        <w:rPr>
          <w:rFonts w:hint="eastAsia" w:ascii="宋体" w:hAnsi="宋体" w:eastAsia="宋体" w:cs="宋体"/>
          <w:b/>
          <w:bCs w:val="0"/>
          <w:sz w:val="32"/>
          <w:szCs w:val="40"/>
          <w:highlight w:val="none"/>
          <w:lang w:val="en-US" w:eastAsia="zh-CN"/>
        </w:rPr>
      </w:pPr>
    </w:p>
    <w:p w14:paraId="297A08A3">
      <w:pPr>
        <w:spacing w:line="480" w:lineRule="auto"/>
        <w:ind w:firstLine="1920" w:firstLineChars="600"/>
        <w:jc w:val="both"/>
        <w:rPr>
          <w:rFonts w:hint="eastAsia" w:ascii="宋体" w:hAnsi="宋体" w:eastAsia="宋体" w:cs="宋体"/>
          <w:b/>
          <w:bCs w:val="0"/>
          <w:sz w:val="32"/>
          <w:szCs w:val="40"/>
          <w:highlight w:val="none"/>
          <w:lang w:val="en-US" w:eastAsia="zh-CN"/>
        </w:rPr>
      </w:pPr>
    </w:p>
    <w:p w14:paraId="6960038B">
      <w:pPr>
        <w:spacing w:line="480" w:lineRule="auto"/>
        <w:ind w:firstLine="1920" w:firstLineChars="600"/>
        <w:jc w:val="both"/>
        <w:rPr>
          <w:rFonts w:hint="default" w:ascii="宋体" w:hAnsi="宋体" w:eastAsia="宋体" w:cs="宋体"/>
          <w:b/>
          <w:bCs w:val="0"/>
          <w:color w:val="auto"/>
          <w:sz w:val="32"/>
          <w:szCs w:val="40"/>
          <w:highlight w:val="none"/>
          <w:lang w:val="en-US" w:eastAsia="zh-CN"/>
        </w:rPr>
      </w:pPr>
      <w:r>
        <w:rPr>
          <w:rFonts w:hint="eastAsia" w:ascii="宋体" w:hAnsi="宋体" w:eastAsia="宋体" w:cs="宋体"/>
          <w:b/>
          <w:bCs w:val="0"/>
          <w:sz w:val="32"/>
          <w:szCs w:val="40"/>
          <w:highlight w:val="none"/>
          <w:lang w:val="en-US" w:eastAsia="zh-CN"/>
        </w:rPr>
        <w:t>采</w:t>
      </w:r>
      <w:r>
        <w:rPr>
          <w:rFonts w:hint="eastAsia" w:ascii="宋体" w:hAnsi="宋体" w:cs="宋体"/>
          <w:b/>
          <w:bCs w:val="0"/>
          <w:sz w:val="32"/>
          <w:szCs w:val="40"/>
          <w:highlight w:val="none"/>
          <w:lang w:val="en-US" w:eastAsia="zh-CN"/>
        </w:rPr>
        <w:t xml:space="preserve"> </w:t>
      </w:r>
      <w:r>
        <w:rPr>
          <w:rFonts w:hint="eastAsia" w:ascii="宋体" w:hAnsi="宋体" w:eastAsia="宋体" w:cs="宋体"/>
          <w:b/>
          <w:bCs w:val="0"/>
          <w:sz w:val="32"/>
          <w:szCs w:val="40"/>
          <w:highlight w:val="none"/>
          <w:lang w:val="en-US" w:eastAsia="zh-CN"/>
        </w:rPr>
        <w:t>购</w:t>
      </w:r>
      <w:r>
        <w:rPr>
          <w:rFonts w:hint="eastAsia" w:ascii="宋体" w:hAnsi="宋体" w:cs="宋体"/>
          <w:b/>
          <w:bCs w:val="0"/>
          <w:sz w:val="32"/>
          <w:szCs w:val="40"/>
          <w:highlight w:val="none"/>
          <w:lang w:val="en-US" w:eastAsia="zh-CN"/>
        </w:rPr>
        <w:t xml:space="preserve"> </w:t>
      </w:r>
      <w:r>
        <w:rPr>
          <w:rFonts w:hint="eastAsia" w:ascii="宋体" w:hAnsi="宋体" w:eastAsia="宋体" w:cs="宋体"/>
          <w:b/>
          <w:bCs w:val="0"/>
          <w:sz w:val="32"/>
          <w:szCs w:val="40"/>
          <w:highlight w:val="none"/>
          <w:lang w:val="en-US" w:eastAsia="zh-CN"/>
        </w:rPr>
        <w:t>人</w:t>
      </w:r>
      <w:r>
        <w:rPr>
          <w:rFonts w:hint="eastAsia" w:ascii="宋体" w:hAnsi="宋体" w:eastAsia="宋体" w:cs="宋体"/>
          <w:b/>
          <w:bCs w:val="0"/>
          <w:color w:val="auto"/>
          <w:sz w:val="32"/>
          <w:szCs w:val="40"/>
          <w:highlight w:val="none"/>
        </w:rPr>
        <w:t>：</w:t>
      </w:r>
      <w:r>
        <w:rPr>
          <w:rFonts w:hint="eastAsia" w:ascii="宋体" w:hAnsi="宋体" w:cs="宋体"/>
          <w:b/>
          <w:bCs w:val="0"/>
          <w:color w:val="auto"/>
          <w:sz w:val="32"/>
          <w:szCs w:val="40"/>
          <w:highlight w:val="none"/>
          <w:lang w:val="en-US" w:eastAsia="zh-CN"/>
        </w:rPr>
        <w:t>民权县人民医院</w:t>
      </w:r>
      <w:r>
        <w:rPr>
          <w:rFonts w:hint="eastAsia" w:ascii="宋体" w:hAnsi="宋体" w:cs="宋体"/>
          <w:b/>
          <w:bCs w:val="0"/>
          <w:color w:val="auto"/>
          <w:sz w:val="32"/>
          <w:szCs w:val="40"/>
          <w:highlight w:val="none"/>
          <w:lang w:val="en-US" w:eastAsia="zh-CN"/>
        </w:rPr>
        <w:tab/>
      </w:r>
    </w:p>
    <w:p w14:paraId="1144AB60">
      <w:pPr>
        <w:spacing w:line="480" w:lineRule="auto"/>
        <w:ind w:firstLine="1920" w:firstLineChars="600"/>
        <w:jc w:val="both"/>
        <w:rPr>
          <w:rFonts w:hint="eastAsia" w:ascii="宋体" w:hAnsi="宋体" w:eastAsia="宋体" w:cs="宋体"/>
          <w:b/>
          <w:bCs w:val="0"/>
          <w:color w:val="auto"/>
          <w:sz w:val="32"/>
          <w:szCs w:val="40"/>
          <w:highlight w:val="none"/>
          <w:lang w:val="en-US" w:eastAsia="zh-CN"/>
        </w:rPr>
      </w:pPr>
      <w:r>
        <w:rPr>
          <w:rFonts w:hint="eastAsia" w:ascii="宋体" w:hAnsi="宋体" w:eastAsia="宋体" w:cs="宋体"/>
          <w:b/>
          <w:bCs w:val="0"/>
          <w:color w:val="auto"/>
          <w:sz w:val="32"/>
          <w:szCs w:val="40"/>
          <w:highlight w:val="none"/>
          <w:lang w:val="en-US" w:eastAsia="zh-CN"/>
        </w:rPr>
        <w:t>代理机构：</w:t>
      </w:r>
      <w:r>
        <w:rPr>
          <w:rFonts w:hint="eastAsia" w:ascii="宋体" w:hAnsi="宋体" w:cs="宋体"/>
          <w:b/>
          <w:bCs w:val="0"/>
          <w:color w:val="auto"/>
          <w:sz w:val="32"/>
          <w:szCs w:val="40"/>
          <w:highlight w:val="none"/>
          <w:lang w:val="en-US" w:eastAsia="zh-CN"/>
        </w:rPr>
        <w:t>河南联达工程管理有限公司</w:t>
      </w:r>
    </w:p>
    <w:p w14:paraId="67F7C8C2">
      <w:pPr>
        <w:spacing w:line="480" w:lineRule="auto"/>
        <w:ind w:firstLine="1920" w:firstLineChars="600"/>
        <w:jc w:val="both"/>
        <w:rPr>
          <w:rFonts w:hint="eastAsia" w:ascii="宋体" w:hAnsi="宋体" w:eastAsia="宋体" w:cs="宋体"/>
          <w:b/>
          <w:bCs w:val="0"/>
          <w:color w:val="auto"/>
          <w:sz w:val="32"/>
          <w:szCs w:val="40"/>
          <w:highlight w:val="none"/>
          <w:lang w:val="en-US" w:eastAsia="zh-CN"/>
        </w:rPr>
      </w:pPr>
      <w:r>
        <w:rPr>
          <w:rFonts w:hint="eastAsia" w:ascii="宋体" w:hAnsi="宋体" w:eastAsia="宋体" w:cs="宋体"/>
          <w:b/>
          <w:bCs w:val="0"/>
          <w:color w:val="auto"/>
          <w:sz w:val="32"/>
          <w:szCs w:val="40"/>
          <w:highlight w:val="none"/>
          <w:lang w:val="en-US" w:eastAsia="zh-CN"/>
        </w:rPr>
        <w:t>日    期：二〇二</w:t>
      </w:r>
      <w:r>
        <w:rPr>
          <w:rFonts w:hint="eastAsia" w:ascii="宋体" w:hAnsi="宋体" w:cs="宋体"/>
          <w:b/>
          <w:bCs w:val="0"/>
          <w:color w:val="auto"/>
          <w:sz w:val="32"/>
          <w:szCs w:val="40"/>
          <w:highlight w:val="none"/>
          <w:lang w:val="en-US" w:eastAsia="zh-CN"/>
        </w:rPr>
        <w:t>四</w:t>
      </w:r>
      <w:r>
        <w:rPr>
          <w:rFonts w:hint="eastAsia" w:ascii="宋体" w:hAnsi="宋体" w:eastAsia="宋体" w:cs="宋体"/>
          <w:b/>
          <w:bCs w:val="0"/>
          <w:color w:val="auto"/>
          <w:sz w:val="32"/>
          <w:szCs w:val="40"/>
          <w:highlight w:val="none"/>
          <w:lang w:val="en-US" w:eastAsia="zh-CN"/>
        </w:rPr>
        <w:t>年</w:t>
      </w:r>
      <w:r>
        <w:rPr>
          <w:rFonts w:hint="eastAsia" w:ascii="宋体" w:hAnsi="宋体" w:cs="宋体"/>
          <w:b/>
          <w:bCs w:val="0"/>
          <w:color w:val="auto"/>
          <w:sz w:val="32"/>
          <w:szCs w:val="40"/>
          <w:highlight w:val="none"/>
          <w:lang w:val="en-US" w:eastAsia="zh-CN"/>
        </w:rPr>
        <w:t>十一</w:t>
      </w:r>
      <w:r>
        <w:rPr>
          <w:rFonts w:hint="eastAsia" w:ascii="宋体" w:hAnsi="宋体" w:eastAsia="宋体" w:cs="宋体"/>
          <w:b/>
          <w:bCs w:val="0"/>
          <w:color w:val="auto"/>
          <w:sz w:val="32"/>
          <w:szCs w:val="40"/>
          <w:highlight w:val="none"/>
          <w:lang w:val="en-US" w:eastAsia="zh-CN"/>
        </w:rPr>
        <w:t>月</w:t>
      </w:r>
    </w:p>
    <w:p w14:paraId="0244E726">
      <w:pPr>
        <w:spacing w:line="480" w:lineRule="auto"/>
        <w:ind w:firstLine="960" w:firstLineChars="300"/>
        <w:rPr>
          <w:rFonts w:hint="eastAsia" w:ascii="宋体" w:hAnsi="宋体" w:eastAsia="宋体" w:cs="宋体"/>
          <w:b/>
          <w:bCs w:val="0"/>
          <w:color w:val="auto"/>
          <w:sz w:val="32"/>
          <w:szCs w:val="40"/>
          <w:highlight w:val="none"/>
          <w:lang w:val="en-US" w:eastAsia="zh-CN"/>
        </w:rPr>
        <w:sectPr>
          <w:headerReference r:id="rId4" w:type="first"/>
          <w:footerReference r:id="rId6" w:type="first"/>
          <w:headerReference r:id="rId3" w:type="default"/>
          <w:footerReference r:id="rId5" w:type="default"/>
          <w:pgSz w:w="11906" w:h="16838"/>
          <w:pgMar w:top="1440" w:right="1701" w:bottom="1440" w:left="1701" w:header="851" w:footer="992" w:gutter="0"/>
          <w:pgNumType w:fmt="decimal" w:start="1"/>
          <w:cols w:space="720" w:num="1"/>
          <w:docGrid w:type="linesAndChars" w:linePitch="312" w:charSpace="0"/>
        </w:sectPr>
      </w:pPr>
    </w:p>
    <w:p w14:paraId="6B3E9F33">
      <w:pPr>
        <w:spacing w:before="312" w:beforeLines="100" w:after="312" w:afterLines="100" w:line="360" w:lineRule="auto"/>
        <w:ind w:firstLine="964" w:firstLineChars="200"/>
        <w:jc w:val="center"/>
        <w:rPr>
          <w:rFonts w:ascii="宋体" w:hAnsi="宋体"/>
          <w:b/>
          <w:color w:val="000000"/>
          <w:sz w:val="48"/>
          <w:szCs w:val="48"/>
          <w:highlight w:val="none"/>
        </w:rPr>
      </w:pPr>
      <w:r>
        <w:rPr>
          <w:rFonts w:hint="eastAsia" w:ascii="宋体" w:hAnsi="宋体"/>
          <w:b/>
          <w:color w:val="000000"/>
          <w:sz w:val="48"/>
          <w:szCs w:val="48"/>
          <w:highlight w:val="none"/>
        </w:rPr>
        <w:t>目    录</w:t>
      </w:r>
    </w:p>
    <w:p w14:paraId="56EE32D0">
      <w:pPr>
        <w:pStyle w:val="14"/>
        <w:tabs>
          <w:tab w:val="right" w:leader="dot" w:pos="9638"/>
        </w:tabs>
        <w:rPr>
          <w:sz w:val="28"/>
          <w:szCs w:val="36"/>
          <w:highlight w:val="none"/>
        </w:rPr>
      </w:pPr>
      <w:r>
        <w:rPr>
          <w:sz w:val="28"/>
          <w:szCs w:val="36"/>
          <w:highlight w:val="none"/>
        </w:rPr>
        <w:fldChar w:fldCharType="begin"/>
      </w:r>
      <w:r>
        <w:rPr>
          <w:sz w:val="28"/>
          <w:szCs w:val="36"/>
          <w:highlight w:val="none"/>
        </w:rPr>
        <w:instrText xml:space="preserve"> </w:instrText>
      </w:r>
      <w:r>
        <w:rPr>
          <w:rFonts w:hint="eastAsia"/>
          <w:sz w:val="28"/>
          <w:szCs w:val="36"/>
          <w:highlight w:val="none"/>
        </w:rPr>
        <w:instrText xml:space="preserve">TOC \o "1-3" \h \z \u</w:instrText>
      </w:r>
      <w:r>
        <w:rPr>
          <w:sz w:val="28"/>
          <w:szCs w:val="36"/>
          <w:highlight w:val="none"/>
        </w:rPr>
        <w:instrText xml:space="preserve"> </w:instrText>
      </w:r>
      <w:r>
        <w:rPr>
          <w:sz w:val="28"/>
          <w:szCs w:val="36"/>
          <w:highlight w:val="none"/>
        </w:rPr>
        <w:fldChar w:fldCharType="separate"/>
      </w:r>
    </w:p>
    <w:p w14:paraId="6CB43D79">
      <w:pPr>
        <w:pStyle w:val="20"/>
        <w:tabs>
          <w:tab w:val="right" w:leader="dot" w:pos="9638"/>
          <w:tab w:val="clear" w:pos="9628"/>
        </w:tabs>
        <w:rPr>
          <w:rFonts w:hint="eastAsia" w:eastAsia="宋体"/>
          <w:sz w:val="28"/>
          <w:szCs w:val="36"/>
          <w:highlight w:val="none"/>
          <w:lang w:val="en-US" w:eastAsia="zh-CN"/>
        </w:rPr>
      </w:pPr>
      <w:r>
        <w:rPr>
          <w:rFonts w:hint="eastAsia"/>
          <w:sz w:val="28"/>
          <w:szCs w:val="36"/>
          <w:highlight w:val="none"/>
          <w:lang w:val="en-US" w:eastAsia="zh-CN"/>
        </w:rPr>
        <w:t>第一章 招标公告</w:t>
      </w:r>
      <w:r>
        <w:rPr>
          <w:sz w:val="28"/>
          <w:szCs w:val="36"/>
          <w:highlight w:val="none"/>
        </w:rPr>
        <w:tab/>
      </w:r>
      <w:r>
        <w:rPr>
          <w:rFonts w:hint="eastAsia"/>
          <w:sz w:val="28"/>
          <w:szCs w:val="36"/>
          <w:highlight w:val="none"/>
          <w:lang w:val="en-US" w:eastAsia="zh-CN"/>
        </w:rPr>
        <w:t>2</w:t>
      </w:r>
    </w:p>
    <w:p w14:paraId="16FEB662">
      <w:pPr>
        <w:pStyle w:val="20"/>
        <w:tabs>
          <w:tab w:val="right" w:leader="dot" w:pos="9638"/>
          <w:tab w:val="clear" w:pos="9628"/>
        </w:tabs>
        <w:rPr>
          <w:rFonts w:hint="default" w:eastAsia="宋体"/>
          <w:sz w:val="28"/>
          <w:szCs w:val="36"/>
          <w:highlight w:val="none"/>
          <w:lang w:val="en-US" w:eastAsia="zh-CN"/>
        </w:rPr>
      </w:pPr>
      <w:r>
        <w:rPr>
          <w:sz w:val="28"/>
          <w:szCs w:val="36"/>
          <w:highlight w:val="none"/>
        </w:rPr>
        <w:fldChar w:fldCharType="begin"/>
      </w:r>
      <w:r>
        <w:rPr>
          <w:sz w:val="28"/>
          <w:szCs w:val="36"/>
          <w:highlight w:val="none"/>
        </w:rPr>
        <w:instrText xml:space="preserve"> HYPERLINK \l _Toc13043 </w:instrText>
      </w:r>
      <w:r>
        <w:rPr>
          <w:sz w:val="28"/>
          <w:szCs w:val="36"/>
          <w:highlight w:val="none"/>
        </w:rPr>
        <w:fldChar w:fldCharType="separate"/>
      </w:r>
      <w:r>
        <w:rPr>
          <w:rFonts w:hint="eastAsia"/>
          <w:sz w:val="28"/>
          <w:szCs w:val="36"/>
          <w:highlight w:val="none"/>
        </w:rPr>
        <w:t xml:space="preserve">第二章 </w:t>
      </w:r>
      <w:r>
        <w:rPr>
          <w:rFonts w:hint="eastAsia"/>
          <w:sz w:val="28"/>
          <w:szCs w:val="36"/>
          <w:highlight w:val="none"/>
          <w:lang w:val="en-US" w:eastAsia="zh-CN"/>
        </w:rPr>
        <w:t>供应商</w:t>
      </w:r>
      <w:r>
        <w:rPr>
          <w:rFonts w:hint="eastAsia"/>
          <w:sz w:val="28"/>
          <w:szCs w:val="36"/>
          <w:highlight w:val="none"/>
        </w:rPr>
        <w:t>须知</w:t>
      </w:r>
      <w:r>
        <w:rPr>
          <w:sz w:val="28"/>
          <w:szCs w:val="36"/>
          <w:highlight w:val="none"/>
        </w:rPr>
        <w:tab/>
      </w:r>
      <w:r>
        <w:rPr>
          <w:rFonts w:hint="eastAsia"/>
          <w:sz w:val="28"/>
          <w:szCs w:val="36"/>
          <w:highlight w:val="none"/>
          <w:lang w:val="en-US" w:eastAsia="zh-CN"/>
        </w:rPr>
        <w:t>6</w:t>
      </w:r>
      <w:r>
        <w:rPr>
          <w:sz w:val="28"/>
          <w:szCs w:val="36"/>
          <w:highlight w:val="none"/>
        </w:rPr>
        <w:fldChar w:fldCharType="end"/>
      </w:r>
    </w:p>
    <w:p w14:paraId="633E7B0E">
      <w:pPr>
        <w:pStyle w:val="20"/>
        <w:tabs>
          <w:tab w:val="right" w:leader="dot" w:pos="9638"/>
          <w:tab w:val="clear" w:pos="9628"/>
        </w:tabs>
        <w:rPr>
          <w:rFonts w:hint="eastAsia" w:eastAsia="宋体"/>
          <w:sz w:val="28"/>
          <w:szCs w:val="36"/>
          <w:highlight w:val="none"/>
          <w:lang w:val="en-US" w:eastAsia="zh-CN"/>
        </w:rPr>
      </w:pPr>
      <w:r>
        <w:rPr>
          <w:sz w:val="28"/>
          <w:szCs w:val="36"/>
          <w:highlight w:val="none"/>
        </w:rPr>
        <w:fldChar w:fldCharType="begin"/>
      </w:r>
      <w:r>
        <w:rPr>
          <w:sz w:val="28"/>
          <w:szCs w:val="36"/>
          <w:highlight w:val="none"/>
        </w:rPr>
        <w:instrText xml:space="preserve"> HYPERLINK \l _Toc28638 </w:instrText>
      </w:r>
      <w:r>
        <w:rPr>
          <w:sz w:val="28"/>
          <w:szCs w:val="36"/>
          <w:highlight w:val="none"/>
        </w:rPr>
        <w:fldChar w:fldCharType="separate"/>
      </w:r>
      <w:r>
        <w:rPr>
          <w:rFonts w:hint="eastAsia"/>
          <w:sz w:val="28"/>
          <w:szCs w:val="44"/>
          <w:highlight w:val="none"/>
        </w:rPr>
        <w:t>第三章</w:t>
      </w:r>
      <w:r>
        <w:rPr>
          <w:rFonts w:hint="eastAsia"/>
          <w:sz w:val="28"/>
          <w:szCs w:val="44"/>
          <w:highlight w:val="none"/>
          <w:lang w:val="en-US" w:eastAsia="zh-CN"/>
        </w:rPr>
        <w:t xml:space="preserve"> </w:t>
      </w:r>
      <w:r>
        <w:rPr>
          <w:rFonts w:hint="eastAsia"/>
          <w:sz w:val="28"/>
          <w:szCs w:val="44"/>
          <w:highlight w:val="none"/>
        </w:rPr>
        <w:t>评</w:t>
      </w:r>
      <w:r>
        <w:rPr>
          <w:rFonts w:hint="eastAsia"/>
          <w:sz w:val="28"/>
          <w:szCs w:val="44"/>
          <w:highlight w:val="none"/>
          <w:lang w:val="en-US" w:eastAsia="zh-CN"/>
        </w:rPr>
        <w:t>标</w:t>
      </w:r>
      <w:r>
        <w:rPr>
          <w:rFonts w:hint="eastAsia"/>
          <w:sz w:val="28"/>
          <w:szCs w:val="44"/>
          <w:highlight w:val="none"/>
        </w:rPr>
        <w:t>办法（综合评</w:t>
      </w:r>
      <w:r>
        <w:rPr>
          <w:rFonts w:hint="eastAsia"/>
          <w:sz w:val="28"/>
          <w:szCs w:val="44"/>
          <w:highlight w:val="none"/>
          <w:lang w:val="en-US" w:eastAsia="zh-CN"/>
        </w:rPr>
        <w:t>分</w:t>
      </w:r>
      <w:r>
        <w:rPr>
          <w:rFonts w:hint="eastAsia"/>
          <w:sz w:val="28"/>
          <w:szCs w:val="44"/>
          <w:highlight w:val="none"/>
        </w:rPr>
        <w:t>法）</w:t>
      </w:r>
      <w:r>
        <w:rPr>
          <w:sz w:val="28"/>
          <w:szCs w:val="36"/>
          <w:highlight w:val="none"/>
        </w:rPr>
        <w:tab/>
      </w:r>
      <w:r>
        <w:rPr>
          <w:rFonts w:hint="eastAsia"/>
          <w:sz w:val="28"/>
          <w:szCs w:val="36"/>
          <w:highlight w:val="none"/>
          <w:lang w:val="en-US" w:eastAsia="zh-CN"/>
        </w:rPr>
        <w:t>2</w:t>
      </w:r>
      <w:r>
        <w:rPr>
          <w:sz w:val="28"/>
          <w:szCs w:val="36"/>
          <w:highlight w:val="none"/>
        </w:rPr>
        <w:fldChar w:fldCharType="end"/>
      </w:r>
      <w:r>
        <w:rPr>
          <w:rFonts w:hint="eastAsia"/>
          <w:sz w:val="28"/>
          <w:szCs w:val="36"/>
          <w:highlight w:val="none"/>
          <w:lang w:val="en-US" w:eastAsia="zh-CN"/>
        </w:rPr>
        <w:t>1</w:t>
      </w:r>
    </w:p>
    <w:p w14:paraId="1E45B7CE">
      <w:pPr>
        <w:pStyle w:val="20"/>
        <w:tabs>
          <w:tab w:val="right" w:leader="dot" w:pos="9638"/>
          <w:tab w:val="clear" w:pos="9628"/>
        </w:tabs>
        <w:rPr>
          <w:rFonts w:hint="default" w:eastAsia="宋体"/>
          <w:sz w:val="28"/>
          <w:szCs w:val="36"/>
          <w:highlight w:val="none"/>
          <w:lang w:val="en-US" w:eastAsia="zh-CN"/>
        </w:rPr>
      </w:pPr>
      <w:r>
        <w:rPr>
          <w:sz w:val="28"/>
          <w:szCs w:val="36"/>
          <w:highlight w:val="none"/>
        </w:rPr>
        <w:fldChar w:fldCharType="begin"/>
      </w:r>
      <w:r>
        <w:rPr>
          <w:sz w:val="28"/>
          <w:szCs w:val="36"/>
          <w:highlight w:val="none"/>
        </w:rPr>
        <w:instrText xml:space="preserve"> HYPERLINK \l _Toc25740 </w:instrText>
      </w:r>
      <w:r>
        <w:rPr>
          <w:sz w:val="28"/>
          <w:szCs w:val="36"/>
          <w:highlight w:val="none"/>
        </w:rPr>
        <w:fldChar w:fldCharType="separate"/>
      </w:r>
      <w:r>
        <w:rPr>
          <w:rFonts w:hint="eastAsia"/>
          <w:sz w:val="28"/>
          <w:szCs w:val="36"/>
          <w:highlight w:val="none"/>
          <w:lang w:val="en-US" w:eastAsia="zh-CN"/>
        </w:rPr>
        <w:t>第四章 技术要求</w:t>
      </w:r>
      <w:r>
        <w:rPr>
          <w:sz w:val="28"/>
          <w:szCs w:val="36"/>
          <w:highlight w:val="none"/>
        </w:rPr>
        <w:tab/>
      </w:r>
      <w:r>
        <w:rPr>
          <w:rFonts w:hint="eastAsia"/>
          <w:sz w:val="28"/>
          <w:szCs w:val="36"/>
          <w:highlight w:val="none"/>
          <w:lang w:val="en-US" w:eastAsia="zh-CN"/>
        </w:rPr>
        <w:t>2</w:t>
      </w:r>
      <w:r>
        <w:rPr>
          <w:sz w:val="28"/>
          <w:szCs w:val="36"/>
          <w:highlight w:val="none"/>
        </w:rPr>
        <w:fldChar w:fldCharType="end"/>
      </w:r>
      <w:r>
        <w:rPr>
          <w:rFonts w:hint="eastAsia"/>
          <w:sz w:val="28"/>
          <w:szCs w:val="36"/>
          <w:highlight w:val="none"/>
          <w:lang w:val="en-US" w:eastAsia="zh-CN"/>
        </w:rPr>
        <w:t>7</w:t>
      </w:r>
    </w:p>
    <w:p w14:paraId="27F0A9FE">
      <w:pPr>
        <w:pStyle w:val="20"/>
        <w:tabs>
          <w:tab w:val="right" w:leader="dot" w:pos="9638"/>
          <w:tab w:val="clear" w:pos="9628"/>
        </w:tabs>
        <w:rPr>
          <w:rFonts w:hint="eastAsia" w:eastAsia="宋体"/>
          <w:sz w:val="28"/>
          <w:szCs w:val="36"/>
          <w:highlight w:val="none"/>
          <w:lang w:val="en-US" w:eastAsia="zh-CN"/>
        </w:rPr>
      </w:pPr>
      <w:r>
        <w:rPr>
          <w:sz w:val="28"/>
          <w:szCs w:val="36"/>
          <w:highlight w:val="none"/>
        </w:rPr>
        <w:fldChar w:fldCharType="begin"/>
      </w:r>
      <w:r>
        <w:rPr>
          <w:sz w:val="28"/>
          <w:szCs w:val="36"/>
          <w:highlight w:val="none"/>
        </w:rPr>
        <w:instrText xml:space="preserve"> HYPERLINK \l _Toc25106 </w:instrText>
      </w:r>
      <w:r>
        <w:rPr>
          <w:sz w:val="28"/>
          <w:szCs w:val="36"/>
          <w:highlight w:val="none"/>
        </w:rPr>
        <w:fldChar w:fldCharType="separate"/>
      </w:r>
      <w:r>
        <w:rPr>
          <w:rFonts w:hint="eastAsia"/>
          <w:sz w:val="28"/>
          <w:szCs w:val="36"/>
          <w:highlight w:val="none"/>
        </w:rPr>
        <w:t>第</w:t>
      </w:r>
      <w:r>
        <w:rPr>
          <w:rFonts w:hint="eastAsia"/>
          <w:sz w:val="28"/>
          <w:szCs w:val="36"/>
          <w:highlight w:val="none"/>
          <w:lang w:val="en-US" w:eastAsia="zh-CN"/>
        </w:rPr>
        <w:t>五</w:t>
      </w:r>
      <w:r>
        <w:rPr>
          <w:rFonts w:hint="eastAsia"/>
          <w:sz w:val="28"/>
          <w:szCs w:val="36"/>
          <w:highlight w:val="none"/>
        </w:rPr>
        <w:t>章 合同条款及格式</w:t>
      </w:r>
      <w:r>
        <w:rPr>
          <w:sz w:val="28"/>
          <w:szCs w:val="36"/>
          <w:highlight w:val="none"/>
        </w:rPr>
        <w:tab/>
      </w:r>
      <w:r>
        <w:rPr>
          <w:rFonts w:hint="eastAsia"/>
          <w:sz w:val="28"/>
          <w:szCs w:val="36"/>
          <w:highlight w:val="none"/>
          <w:lang w:val="en-US" w:eastAsia="zh-CN"/>
        </w:rPr>
        <w:t>88</w:t>
      </w:r>
      <w:r>
        <w:rPr>
          <w:sz w:val="28"/>
          <w:szCs w:val="36"/>
          <w:highlight w:val="none"/>
        </w:rPr>
        <w:fldChar w:fldCharType="end"/>
      </w:r>
    </w:p>
    <w:p w14:paraId="33887A86">
      <w:pPr>
        <w:pStyle w:val="20"/>
        <w:tabs>
          <w:tab w:val="right" w:leader="dot" w:pos="9638"/>
          <w:tab w:val="clear" w:pos="9628"/>
        </w:tabs>
        <w:rPr>
          <w:rFonts w:hint="eastAsia" w:eastAsia="宋体"/>
          <w:sz w:val="28"/>
          <w:szCs w:val="36"/>
          <w:highlight w:val="none"/>
          <w:lang w:val="en-US" w:eastAsia="zh-CN"/>
        </w:rPr>
      </w:pPr>
      <w:r>
        <w:rPr>
          <w:sz w:val="28"/>
          <w:szCs w:val="36"/>
          <w:highlight w:val="none"/>
        </w:rPr>
        <w:fldChar w:fldCharType="end"/>
      </w:r>
      <w:r>
        <w:rPr>
          <w:sz w:val="28"/>
          <w:szCs w:val="36"/>
          <w:highlight w:val="none"/>
        </w:rPr>
        <w:fldChar w:fldCharType="begin"/>
      </w:r>
      <w:r>
        <w:rPr>
          <w:sz w:val="28"/>
          <w:szCs w:val="36"/>
          <w:highlight w:val="none"/>
        </w:rPr>
        <w:instrText xml:space="preserve"> HYPERLINK \l _Toc31386 </w:instrText>
      </w:r>
      <w:r>
        <w:rPr>
          <w:sz w:val="28"/>
          <w:szCs w:val="36"/>
          <w:highlight w:val="none"/>
        </w:rPr>
        <w:fldChar w:fldCharType="separate"/>
      </w:r>
      <w:r>
        <w:rPr>
          <w:rFonts w:hint="eastAsia"/>
          <w:sz w:val="28"/>
          <w:szCs w:val="36"/>
          <w:highlight w:val="none"/>
        </w:rPr>
        <w:t>第</w:t>
      </w:r>
      <w:r>
        <w:rPr>
          <w:rFonts w:hint="eastAsia"/>
          <w:sz w:val="28"/>
          <w:szCs w:val="36"/>
          <w:highlight w:val="none"/>
          <w:lang w:val="en-US" w:eastAsia="zh-CN"/>
        </w:rPr>
        <w:t>六</w:t>
      </w:r>
      <w:r>
        <w:rPr>
          <w:rFonts w:hint="eastAsia"/>
          <w:sz w:val="28"/>
          <w:szCs w:val="36"/>
          <w:highlight w:val="none"/>
        </w:rPr>
        <w:t xml:space="preserve">章 </w:t>
      </w:r>
      <w:r>
        <w:rPr>
          <w:rFonts w:hint="eastAsia"/>
          <w:sz w:val="28"/>
          <w:szCs w:val="36"/>
          <w:highlight w:val="none"/>
          <w:lang w:val="en-US" w:eastAsia="zh-CN"/>
        </w:rPr>
        <w:t>投标</w:t>
      </w:r>
      <w:r>
        <w:rPr>
          <w:rFonts w:hint="eastAsia"/>
          <w:sz w:val="28"/>
          <w:szCs w:val="36"/>
          <w:highlight w:val="none"/>
        </w:rPr>
        <w:t>文件格式</w:t>
      </w:r>
      <w:r>
        <w:rPr>
          <w:sz w:val="28"/>
          <w:szCs w:val="36"/>
          <w:highlight w:val="none"/>
        </w:rPr>
        <w:tab/>
      </w:r>
      <w:r>
        <w:rPr>
          <w:rFonts w:hint="eastAsia"/>
          <w:sz w:val="28"/>
          <w:szCs w:val="36"/>
          <w:highlight w:val="none"/>
          <w:lang w:val="en-US" w:eastAsia="zh-CN"/>
        </w:rPr>
        <w:t>9</w:t>
      </w:r>
      <w:r>
        <w:rPr>
          <w:sz w:val="28"/>
          <w:szCs w:val="36"/>
          <w:highlight w:val="none"/>
        </w:rPr>
        <w:fldChar w:fldCharType="end"/>
      </w:r>
      <w:r>
        <w:rPr>
          <w:rFonts w:hint="eastAsia"/>
          <w:sz w:val="28"/>
          <w:szCs w:val="36"/>
          <w:highlight w:val="none"/>
          <w:lang w:val="en-US" w:eastAsia="zh-CN"/>
        </w:rPr>
        <w:t>3</w:t>
      </w:r>
    </w:p>
    <w:p w14:paraId="04F840C2">
      <w:pPr>
        <w:pStyle w:val="14"/>
        <w:tabs>
          <w:tab w:val="right" w:leader="dot" w:pos="9628"/>
        </w:tabs>
        <w:rPr>
          <w:rFonts w:hint="default" w:eastAsia="宋体"/>
          <w:sz w:val="28"/>
          <w:szCs w:val="36"/>
          <w:highlight w:val="none"/>
          <w:lang w:val="en-US" w:eastAsia="zh-CN"/>
        </w:rPr>
      </w:pPr>
    </w:p>
    <w:p w14:paraId="2591E506">
      <w:pPr>
        <w:rPr>
          <w:rFonts w:hint="eastAsia"/>
          <w:highlight w:val="none"/>
        </w:rPr>
      </w:pPr>
    </w:p>
    <w:p w14:paraId="241E7F3D">
      <w:pPr>
        <w:spacing w:line="360" w:lineRule="auto"/>
        <w:outlineLvl w:val="0"/>
        <w:rPr>
          <w:rFonts w:hint="eastAsia"/>
          <w:b/>
          <w:sz w:val="32"/>
          <w:szCs w:val="32"/>
          <w:highlight w:val="none"/>
        </w:rPr>
      </w:pPr>
      <w:bookmarkStart w:id="0" w:name="_Toc381711109"/>
    </w:p>
    <w:p w14:paraId="0A60F833">
      <w:pPr>
        <w:widowControl/>
        <w:shd w:val="clear" w:color="auto" w:fill="FFFFFF"/>
        <w:spacing w:before="100" w:beforeAutospacing="1" w:after="100" w:afterAutospacing="1" w:line="360" w:lineRule="atLeast"/>
        <w:jc w:val="center"/>
        <w:rPr>
          <w:rFonts w:hint="eastAsia"/>
          <w:b/>
          <w:sz w:val="24"/>
          <w:szCs w:val="24"/>
          <w:highlight w:val="none"/>
        </w:rPr>
        <w:sectPr>
          <w:footerReference r:id="rId9" w:type="first"/>
          <w:headerReference r:id="rId7" w:type="default"/>
          <w:footerReference r:id="rId8" w:type="default"/>
          <w:pgSz w:w="11906" w:h="16838"/>
          <w:pgMar w:top="1418" w:right="1134" w:bottom="1418" w:left="1134" w:header="851" w:footer="992" w:gutter="0"/>
          <w:pgNumType w:fmt="decimal" w:start="1"/>
          <w:cols w:space="720" w:num="1"/>
          <w:docGrid w:type="lines" w:linePitch="312" w:charSpace="0"/>
        </w:sectPr>
      </w:pPr>
      <w:bookmarkStart w:id="1" w:name="_Toc14669"/>
    </w:p>
    <w:bookmarkEnd w:id="0"/>
    <w:bookmarkEnd w:id="1"/>
    <w:p w14:paraId="5D321713">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00" w:beforeAutospacing="1" w:after="100" w:afterAutospacing="1" w:line="360" w:lineRule="auto"/>
        <w:ind w:left="444" w:leftChars="0" w:firstLine="0" w:firstLineChars="0"/>
        <w:jc w:val="center"/>
        <w:textAlignment w:val="auto"/>
        <w:rPr>
          <w:rFonts w:hint="default" w:ascii="宋体" w:hAnsi="宋体" w:eastAsia="宋体" w:cs="宋体"/>
          <w:b/>
          <w:sz w:val="28"/>
          <w:szCs w:val="28"/>
          <w:highlight w:val="none"/>
          <w:lang w:val="en-US" w:eastAsia="zh-CN"/>
        </w:rPr>
      </w:pPr>
      <w:bookmarkStart w:id="2" w:name="_Toc13043"/>
      <w:r>
        <w:rPr>
          <w:rFonts w:hint="eastAsia" w:ascii="宋体" w:hAnsi="宋体" w:cs="宋体"/>
          <w:b/>
          <w:sz w:val="28"/>
          <w:szCs w:val="28"/>
          <w:highlight w:val="none"/>
          <w:lang w:val="en-US" w:eastAsia="zh-CN"/>
        </w:rPr>
        <w:t>民权县人民医院新院区综合能力提升医疗设备采购项目</w:t>
      </w:r>
      <w:r>
        <w:rPr>
          <w:rFonts w:hint="eastAsia" w:ascii="宋体" w:hAnsi="宋体" w:cs="宋体"/>
          <w:b/>
          <w:sz w:val="28"/>
          <w:szCs w:val="28"/>
          <w:highlight w:val="none"/>
          <w:lang w:val="en-US" w:eastAsia="zh-CN"/>
        </w:rPr>
        <w:tab/>
      </w:r>
    </w:p>
    <w:p w14:paraId="5B0414C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360" w:lineRule="auto"/>
        <w:jc w:val="center"/>
        <w:textAlignment w:val="auto"/>
        <w:rPr>
          <w:rFonts w:hint="default"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招标</w:t>
      </w:r>
      <w:r>
        <w:rPr>
          <w:rFonts w:hint="eastAsia" w:ascii="宋体" w:hAnsi="宋体" w:eastAsia="宋体" w:cs="宋体"/>
          <w:b/>
          <w:sz w:val="28"/>
          <w:szCs w:val="28"/>
          <w:highlight w:val="none"/>
          <w:lang w:val="en-US" w:eastAsia="zh-CN"/>
        </w:rPr>
        <w:t>公告</w:t>
      </w:r>
    </w:p>
    <w:p w14:paraId="0529285B">
      <w:pPr>
        <w:pStyle w:val="25"/>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highlight w:val="none"/>
        </w:rPr>
      </w:pPr>
      <w:r>
        <w:rPr>
          <w:rStyle w:val="31"/>
          <w:rFonts w:hint="eastAsia" w:ascii="宋体" w:hAnsi="宋体" w:eastAsia="宋体" w:cs="宋体"/>
          <w:b/>
          <w:color w:val="000000"/>
          <w:sz w:val="24"/>
          <w:szCs w:val="24"/>
          <w:highlight w:val="none"/>
          <w:shd w:val="clear" w:color="auto" w:fill="FFFFFF"/>
        </w:rPr>
        <w:t>一、采购条件：</w:t>
      </w:r>
      <w:r>
        <w:rPr>
          <w:rStyle w:val="31"/>
          <w:rFonts w:hint="eastAsia" w:ascii="宋体" w:hAnsi="宋体" w:eastAsia="宋体" w:cs="宋体"/>
          <w:b/>
          <w:color w:val="333333"/>
          <w:sz w:val="24"/>
          <w:szCs w:val="24"/>
          <w:highlight w:val="none"/>
          <w:shd w:val="clear" w:color="auto" w:fill="FFFFFF"/>
        </w:rPr>
        <w:t xml:space="preserve"> </w:t>
      </w:r>
    </w:p>
    <w:p w14:paraId="1656FF2C">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本项目</w:t>
      </w:r>
      <w:r>
        <w:rPr>
          <w:rFonts w:hint="eastAsia" w:ascii="宋体" w:hAnsi="宋体" w:cs="宋体"/>
          <w:b w:val="0"/>
          <w:bCs w:val="0"/>
          <w:color w:val="000000"/>
          <w:kern w:val="2"/>
          <w:sz w:val="24"/>
          <w:szCs w:val="24"/>
          <w:highlight w:val="none"/>
          <w:lang w:val="en-US" w:eastAsia="zh-CN" w:bidi="ar-SA"/>
        </w:rPr>
        <w:t>民权县人民医院新院区综合能力提升医疗设备采购项目</w:t>
      </w:r>
      <w:r>
        <w:rPr>
          <w:rFonts w:hint="eastAsia" w:ascii="宋体" w:hAnsi="宋体" w:eastAsia="宋体" w:cs="宋体"/>
          <w:b w:val="0"/>
          <w:bCs w:val="0"/>
          <w:color w:val="000000"/>
          <w:kern w:val="2"/>
          <w:sz w:val="24"/>
          <w:szCs w:val="24"/>
          <w:highlight w:val="none"/>
          <w:lang w:val="en-US" w:eastAsia="zh-CN" w:bidi="ar-SA"/>
        </w:rPr>
        <w:t>已由相关部门批准，采购人为</w:t>
      </w:r>
      <w:r>
        <w:rPr>
          <w:rFonts w:hint="eastAsia" w:ascii="宋体" w:hAnsi="宋体" w:cs="宋体"/>
          <w:b w:val="0"/>
          <w:bCs w:val="0"/>
          <w:color w:val="000000"/>
          <w:kern w:val="2"/>
          <w:sz w:val="24"/>
          <w:szCs w:val="24"/>
          <w:highlight w:val="none"/>
          <w:lang w:val="en-US" w:eastAsia="zh-CN" w:bidi="ar-SA"/>
        </w:rPr>
        <w:t>民权县人民医院</w:t>
      </w:r>
      <w:r>
        <w:rPr>
          <w:rFonts w:hint="eastAsia" w:ascii="宋体" w:hAnsi="宋体" w:eastAsia="宋体" w:cs="宋体"/>
          <w:b w:val="0"/>
          <w:bCs w:val="0"/>
          <w:color w:val="000000"/>
          <w:kern w:val="2"/>
          <w:sz w:val="24"/>
          <w:szCs w:val="24"/>
          <w:highlight w:val="none"/>
          <w:lang w:val="en-US" w:eastAsia="zh-CN" w:bidi="ar-SA"/>
        </w:rPr>
        <w:t>，已具备招标条件，现对该项目进行公开招标。</w:t>
      </w:r>
    </w:p>
    <w:p w14:paraId="2CC82BB9">
      <w:pPr>
        <w:pStyle w:val="25"/>
        <w:keepNext w:val="0"/>
        <w:keepLines w:val="0"/>
        <w:widowControl/>
        <w:suppressLineNumbers w:val="0"/>
        <w:spacing w:before="0" w:beforeAutospacing="0" w:after="0" w:afterAutospacing="0" w:line="360" w:lineRule="auto"/>
        <w:ind w:left="0" w:right="0"/>
        <w:rPr>
          <w:rStyle w:val="31"/>
          <w:rFonts w:hint="eastAsia" w:ascii="宋体" w:hAnsi="宋体" w:eastAsia="宋体" w:cs="宋体"/>
          <w:b/>
          <w:color w:val="000000"/>
          <w:sz w:val="24"/>
          <w:szCs w:val="24"/>
          <w:highlight w:val="none"/>
          <w:shd w:val="clear" w:color="auto" w:fill="FFFFFF"/>
        </w:rPr>
      </w:pPr>
      <w:r>
        <w:rPr>
          <w:rStyle w:val="31"/>
          <w:rFonts w:hint="eastAsia" w:ascii="宋体" w:hAnsi="宋体" w:eastAsia="宋体" w:cs="宋体"/>
          <w:b/>
          <w:color w:val="000000"/>
          <w:sz w:val="24"/>
          <w:szCs w:val="24"/>
          <w:highlight w:val="none"/>
          <w:shd w:val="clear" w:color="auto" w:fill="FFFFFF"/>
        </w:rPr>
        <w:t>二、项目概况：</w:t>
      </w:r>
    </w:p>
    <w:p w14:paraId="0CF9C4AD">
      <w:pPr>
        <w:pStyle w:val="25"/>
        <w:keepNext w:val="0"/>
        <w:keepLines w:val="0"/>
        <w:widowControl/>
        <w:suppressLineNumbers w:val="0"/>
        <w:spacing w:before="0" w:beforeAutospacing="0" w:after="0" w:afterAutospacing="0" w:line="360" w:lineRule="auto"/>
        <w:ind w:left="0" w:right="0" w:firstLine="384"/>
        <w:jc w:val="left"/>
        <w:rPr>
          <w:rFonts w:hint="default"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w:t>
      </w:r>
      <w:r>
        <w:rPr>
          <w:rFonts w:hint="eastAsia" w:ascii="宋体" w:hAnsi="宋体" w:eastAsia="宋体" w:cs="宋体"/>
          <w:b w:val="0"/>
          <w:bCs w:val="0"/>
          <w:color w:val="000000"/>
          <w:kern w:val="2"/>
          <w:sz w:val="24"/>
          <w:szCs w:val="24"/>
          <w:highlight w:val="none"/>
          <w:lang w:val="en-US" w:eastAsia="zh-CN" w:bidi="ar-SA"/>
        </w:rPr>
        <w:t>1、采购编号：民财采</w:t>
      </w:r>
      <w:r>
        <w:rPr>
          <w:rFonts w:hint="eastAsia" w:ascii="宋体" w:hAnsi="宋体" w:cs="宋体"/>
          <w:b w:val="0"/>
          <w:bCs w:val="0"/>
          <w:color w:val="000000"/>
          <w:kern w:val="2"/>
          <w:sz w:val="24"/>
          <w:szCs w:val="24"/>
          <w:highlight w:val="none"/>
          <w:lang w:val="en-US" w:eastAsia="zh-CN" w:bidi="ar-SA"/>
        </w:rPr>
        <w:t>招-</w:t>
      </w:r>
      <w:r>
        <w:rPr>
          <w:rFonts w:hint="eastAsia" w:ascii="宋体" w:hAnsi="宋体" w:eastAsia="宋体" w:cs="宋体"/>
          <w:b w:val="0"/>
          <w:bCs w:val="0"/>
          <w:color w:val="000000"/>
          <w:kern w:val="2"/>
          <w:sz w:val="24"/>
          <w:szCs w:val="24"/>
          <w:highlight w:val="none"/>
          <w:lang w:val="en-US" w:eastAsia="zh-CN" w:bidi="ar-SA"/>
        </w:rPr>
        <w:t>2024</w:t>
      </w:r>
      <w:r>
        <w:rPr>
          <w:rFonts w:hint="eastAsia" w:ascii="宋体" w:hAnsi="宋体" w:cs="宋体"/>
          <w:b w:val="0"/>
          <w:bCs w:val="0"/>
          <w:color w:val="000000"/>
          <w:kern w:val="2"/>
          <w:sz w:val="24"/>
          <w:szCs w:val="24"/>
          <w:highlight w:val="none"/>
          <w:lang w:val="en-US" w:eastAsia="zh-CN" w:bidi="ar-SA"/>
        </w:rPr>
        <w:t>-22</w:t>
      </w:r>
    </w:p>
    <w:p w14:paraId="54B80E1C">
      <w:pPr>
        <w:pStyle w:val="25"/>
        <w:keepNext w:val="0"/>
        <w:keepLines w:val="0"/>
        <w:widowControl/>
        <w:suppressLineNumbers w:val="0"/>
        <w:spacing w:before="0" w:beforeAutospacing="0" w:after="0" w:afterAutospacing="0" w:line="360" w:lineRule="auto"/>
        <w:ind w:right="0" w:firstLine="960" w:firstLineChars="4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招标编号：商政采〔2024〕748号</w:t>
      </w:r>
    </w:p>
    <w:p w14:paraId="0948E7C9">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w:t>
      </w:r>
      <w:r>
        <w:rPr>
          <w:rFonts w:hint="eastAsia" w:ascii="宋体" w:hAnsi="宋体" w:eastAsia="宋体" w:cs="宋体"/>
          <w:b w:val="0"/>
          <w:bCs w:val="0"/>
          <w:color w:val="000000"/>
          <w:kern w:val="2"/>
          <w:sz w:val="24"/>
          <w:szCs w:val="24"/>
          <w:highlight w:val="none"/>
          <w:lang w:val="en-US" w:eastAsia="zh-CN" w:bidi="ar-SA"/>
        </w:rPr>
        <w:t>2、项目名称：</w:t>
      </w:r>
      <w:r>
        <w:rPr>
          <w:rFonts w:hint="eastAsia" w:ascii="宋体" w:hAnsi="宋体" w:cs="宋体"/>
          <w:b w:val="0"/>
          <w:bCs w:val="0"/>
          <w:color w:val="000000"/>
          <w:kern w:val="2"/>
          <w:sz w:val="24"/>
          <w:szCs w:val="24"/>
          <w:highlight w:val="none"/>
          <w:lang w:val="en-US" w:eastAsia="zh-CN" w:bidi="ar-SA"/>
        </w:rPr>
        <w:t>民权县人民医院新院区综合能力提升医疗设备采购项目</w:t>
      </w:r>
      <w:r>
        <w:rPr>
          <w:rFonts w:hint="eastAsia" w:ascii="宋体" w:hAnsi="宋体" w:cs="宋体"/>
          <w:b w:val="0"/>
          <w:bCs w:val="0"/>
          <w:color w:val="000000"/>
          <w:kern w:val="2"/>
          <w:sz w:val="24"/>
          <w:szCs w:val="24"/>
          <w:highlight w:val="none"/>
          <w:lang w:val="en-US" w:eastAsia="zh-CN" w:bidi="ar-SA"/>
        </w:rPr>
        <w:tab/>
      </w:r>
      <w:r>
        <w:rPr>
          <w:rFonts w:hint="eastAsia" w:ascii="宋体" w:hAnsi="宋体" w:eastAsia="宋体" w:cs="宋体"/>
          <w:b w:val="0"/>
          <w:bCs w:val="0"/>
          <w:color w:val="000000"/>
          <w:kern w:val="2"/>
          <w:sz w:val="24"/>
          <w:szCs w:val="24"/>
          <w:highlight w:val="none"/>
          <w:lang w:val="en-US" w:eastAsia="zh-CN" w:bidi="ar-SA"/>
        </w:rPr>
        <w:t xml:space="preserve"> </w:t>
      </w:r>
    </w:p>
    <w:p w14:paraId="1210B2C7">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w:t>
      </w:r>
      <w:r>
        <w:rPr>
          <w:rFonts w:hint="eastAsia" w:ascii="宋体" w:hAnsi="宋体" w:eastAsia="宋体" w:cs="宋体"/>
          <w:b w:val="0"/>
          <w:bCs w:val="0"/>
          <w:color w:val="000000"/>
          <w:kern w:val="2"/>
          <w:sz w:val="24"/>
          <w:szCs w:val="24"/>
          <w:highlight w:val="none"/>
          <w:lang w:val="en-US" w:eastAsia="zh-CN" w:bidi="ar-SA"/>
        </w:rPr>
        <w:t>3、采购方式：公开招标。</w:t>
      </w:r>
    </w:p>
    <w:p w14:paraId="2714D170">
      <w:pPr>
        <w:pStyle w:val="25"/>
        <w:keepNext w:val="0"/>
        <w:keepLines w:val="0"/>
        <w:widowControl/>
        <w:suppressLineNumbers w:val="0"/>
        <w:spacing w:before="0" w:beforeAutospacing="0" w:after="0" w:afterAutospacing="0" w:line="360" w:lineRule="auto"/>
        <w:ind w:left="0" w:right="0" w:firstLine="384"/>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 xml:space="preserve">2.4、采购需求 </w:t>
      </w:r>
    </w:p>
    <w:p w14:paraId="527838FD">
      <w:pPr>
        <w:pStyle w:val="25"/>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2.4</w:t>
      </w:r>
      <w:r>
        <w:rPr>
          <w:rFonts w:hint="eastAsia" w:ascii="宋体" w:hAnsi="宋体" w:eastAsia="宋体" w:cs="宋体"/>
          <w:b w:val="0"/>
          <w:bCs w:val="0"/>
          <w:color w:val="000000"/>
          <w:kern w:val="2"/>
          <w:sz w:val="24"/>
          <w:szCs w:val="24"/>
          <w:highlight w:val="none"/>
          <w:lang w:val="en-US" w:eastAsia="zh-CN" w:bidi="ar-SA"/>
        </w:rPr>
        <w:t>.</w:t>
      </w:r>
      <w:r>
        <w:rPr>
          <w:rFonts w:hint="eastAsia" w:ascii="宋体" w:hAnsi="宋体" w:cs="宋体"/>
          <w:b w:val="0"/>
          <w:bCs w:val="0"/>
          <w:color w:val="000000"/>
          <w:kern w:val="2"/>
          <w:sz w:val="24"/>
          <w:szCs w:val="24"/>
          <w:highlight w:val="none"/>
          <w:lang w:val="en-US" w:eastAsia="zh-CN" w:bidi="ar-SA"/>
        </w:rPr>
        <w:t>1</w:t>
      </w:r>
      <w:r>
        <w:rPr>
          <w:rFonts w:hint="eastAsia" w:ascii="宋体" w:hAnsi="宋体" w:eastAsia="宋体" w:cs="宋体"/>
          <w:b w:val="0"/>
          <w:bCs w:val="0"/>
          <w:color w:val="000000"/>
          <w:kern w:val="2"/>
          <w:sz w:val="24"/>
          <w:szCs w:val="24"/>
          <w:highlight w:val="none"/>
          <w:lang w:val="en-US" w:eastAsia="zh-CN" w:bidi="ar-SA"/>
        </w:rPr>
        <w:t xml:space="preserve"> 项目地点：</w:t>
      </w:r>
      <w:r>
        <w:rPr>
          <w:rFonts w:hint="eastAsia" w:ascii="宋体" w:hAnsi="宋体" w:cs="宋体"/>
          <w:b w:val="0"/>
          <w:bCs w:val="0"/>
          <w:color w:val="000000"/>
          <w:kern w:val="2"/>
          <w:sz w:val="24"/>
          <w:szCs w:val="24"/>
          <w:highlight w:val="none"/>
          <w:lang w:val="en-US" w:eastAsia="zh-CN" w:bidi="ar-SA"/>
        </w:rPr>
        <w:t>民权县境内</w:t>
      </w:r>
      <w:r>
        <w:rPr>
          <w:rFonts w:hint="eastAsia" w:ascii="宋体" w:hAnsi="宋体" w:eastAsia="宋体" w:cs="宋体"/>
          <w:b w:val="0"/>
          <w:bCs w:val="0"/>
          <w:color w:val="000000"/>
          <w:kern w:val="2"/>
          <w:sz w:val="24"/>
          <w:szCs w:val="24"/>
          <w:highlight w:val="none"/>
          <w:lang w:val="en-US" w:eastAsia="zh-CN" w:bidi="ar-SA"/>
        </w:rPr>
        <w:t xml:space="preserve">。 </w:t>
      </w:r>
    </w:p>
    <w:p w14:paraId="554C1B11">
      <w:pPr>
        <w:pStyle w:val="25"/>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2.4</w:t>
      </w:r>
      <w:r>
        <w:rPr>
          <w:rFonts w:hint="eastAsia" w:ascii="宋体" w:hAnsi="宋体" w:eastAsia="宋体" w:cs="宋体"/>
          <w:b w:val="0"/>
          <w:bCs w:val="0"/>
          <w:color w:val="000000"/>
          <w:kern w:val="2"/>
          <w:sz w:val="24"/>
          <w:szCs w:val="24"/>
          <w:highlight w:val="none"/>
          <w:lang w:val="en-US" w:eastAsia="zh-CN" w:bidi="ar-SA"/>
        </w:rPr>
        <w:t>.</w:t>
      </w:r>
      <w:r>
        <w:rPr>
          <w:rFonts w:hint="eastAsia" w:ascii="宋体" w:hAnsi="宋体" w:cs="宋体"/>
          <w:b w:val="0"/>
          <w:bCs w:val="0"/>
          <w:color w:val="000000"/>
          <w:kern w:val="2"/>
          <w:sz w:val="24"/>
          <w:szCs w:val="24"/>
          <w:highlight w:val="none"/>
          <w:lang w:val="en-US" w:eastAsia="zh-CN" w:bidi="ar-SA"/>
        </w:rPr>
        <w:t>2</w:t>
      </w:r>
      <w:r>
        <w:rPr>
          <w:rFonts w:hint="eastAsia" w:ascii="宋体" w:hAnsi="宋体" w:eastAsia="宋体" w:cs="宋体"/>
          <w:b w:val="0"/>
          <w:bCs w:val="0"/>
          <w:color w:val="000000"/>
          <w:kern w:val="2"/>
          <w:sz w:val="24"/>
          <w:szCs w:val="24"/>
          <w:highlight w:val="none"/>
          <w:lang w:val="en-US" w:eastAsia="zh-CN" w:bidi="ar-SA"/>
        </w:rPr>
        <w:t xml:space="preserve"> 资金来源：</w:t>
      </w:r>
      <w:r>
        <w:rPr>
          <w:rFonts w:hint="eastAsia" w:ascii="宋体" w:hAnsi="宋体" w:cs="宋体"/>
          <w:b w:val="0"/>
          <w:bCs w:val="0"/>
          <w:color w:val="000000"/>
          <w:kern w:val="2"/>
          <w:sz w:val="24"/>
          <w:szCs w:val="24"/>
          <w:highlight w:val="none"/>
          <w:lang w:val="en-US" w:eastAsia="zh-CN" w:bidi="ar-SA"/>
        </w:rPr>
        <w:t>专项债券资金</w:t>
      </w:r>
      <w:r>
        <w:rPr>
          <w:rFonts w:hint="eastAsia" w:ascii="宋体" w:hAnsi="宋体" w:eastAsia="宋体" w:cs="宋体"/>
          <w:b w:val="0"/>
          <w:bCs w:val="0"/>
          <w:color w:val="000000"/>
          <w:kern w:val="2"/>
          <w:sz w:val="24"/>
          <w:szCs w:val="24"/>
          <w:highlight w:val="none"/>
          <w:lang w:val="en-US" w:eastAsia="zh-CN" w:bidi="ar-SA"/>
        </w:rPr>
        <w:t xml:space="preserve">。 </w:t>
      </w:r>
    </w:p>
    <w:p w14:paraId="5F7BC250">
      <w:pPr>
        <w:pStyle w:val="25"/>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2.4.3标段划分及采购内容：共划分为5个标段；</w:t>
      </w:r>
    </w:p>
    <w:p w14:paraId="3DA42060">
      <w:pPr>
        <w:pStyle w:val="25"/>
        <w:keepNext w:val="0"/>
        <w:keepLines w:val="0"/>
        <w:widowControl/>
        <w:suppressLineNumbers w:val="0"/>
        <w:spacing w:before="0" w:beforeAutospacing="0" w:after="0" w:afterAutospacing="0" w:line="360" w:lineRule="auto"/>
        <w:ind w:left="0" w:right="0" w:firstLine="676" w:firstLineChars="282"/>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第一标段：病床；</w:t>
      </w:r>
    </w:p>
    <w:p w14:paraId="59431669">
      <w:pPr>
        <w:pStyle w:val="25"/>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第二标段：护士站、治疗柜、储物柜；</w:t>
      </w:r>
    </w:p>
    <w:p w14:paraId="11E3C4A8">
      <w:pPr>
        <w:pStyle w:val="25"/>
        <w:keepNext w:val="0"/>
        <w:keepLines w:val="0"/>
        <w:widowControl/>
        <w:suppressLineNumbers w:val="0"/>
        <w:spacing w:before="0" w:beforeAutospacing="0" w:after="0" w:afterAutospacing="0" w:line="360" w:lineRule="auto"/>
        <w:ind w:left="0" w:right="0" w:firstLine="676" w:firstLineChars="282"/>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第三标段：磁共振；</w:t>
      </w:r>
    </w:p>
    <w:p w14:paraId="39D3A7AA">
      <w:pPr>
        <w:pStyle w:val="25"/>
        <w:keepNext w:val="0"/>
        <w:keepLines w:val="0"/>
        <w:widowControl/>
        <w:suppressLineNumbers w:val="0"/>
        <w:spacing w:before="0" w:beforeAutospacing="0" w:after="0" w:afterAutospacing="0" w:line="360" w:lineRule="auto"/>
        <w:ind w:left="0" w:right="0" w:firstLine="676" w:firstLineChars="282"/>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第四标段：直线加速器；</w:t>
      </w:r>
    </w:p>
    <w:p w14:paraId="757F4B15">
      <w:pPr>
        <w:pStyle w:val="25"/>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第五标段：其他医疗设备；</w:t>
      </w:r>
    </w:p>
    <w:p w14:paraId="6DED70D8">
      <w:pPr>
        <w:pStyle w:val="25"/>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2.4</w:t>
      </w:r>
      <w:r>
        <w:rPr>
          <w:rFonts w:hint="eastAsia" w:ascii="宋体" w:hAnsi="宋体" w:eastAsia="宋体" w:cs="宋体"/>
          <w:b w:val="0"/>
          <w:bCs w:val="0"/>
          <w:color w:val="000000"/>
          <w:kern w:val="2"/>
          <w:sz w:val="24"/>
          <w:szCs w:val="24"/>
          <w:highlight w:val="none"/>
          <w:lang w:val="en-US" w:eastAsia="zh-CN" w:bidi="ar-SA"/>
        </w:rPr>
        <w:t>.</w:t>
      </w:r>
      <w:r>
        <w:rPr>
          <w:rFonts w:hint="eastAsia" w:ascii="宋体" w:hAnsi="宋体" w:cs="宋体"/>
          <w:b w:val="0"/>
          <w:bCs w:val="0"/>
          <w:color w:val="000000"/>
          <w:kern w:val="2"/>
          <w:sz w:val="24"/>
          <w:szCs w:val="24"/>
          <w:highlight w:val="none"/>
          <w:lang w:val="en-US" w:eastAsia="zh-CN" w:bidi="ar-SA"/>
        </w:rPr>
        <w:t>4供货地点</w:t>
      </w:r>
      <w:r>
        <w:rPr>
          <w:rFonts w:hint="eastAsia" w:ascii="宋体" w:hAnsi="宋体" w:eastAsia="宋体" w:cs="宋体"/>
          <w:b w:val="0"/>
          <w:bCs w:val="0"/>
          <w:color w:val="000000"/>
          <w:kern w:val="2"/>
          <w:sz w:val="24"/>
          <w:szCs w:val="24"/>
          <w:highlight w:val="none"/>
          <w:lang w:val="en-US" w:eastAsia="zh-CN" w:bidi="ar-SA"/>
        </w:rPr>
        <w:t xml:space="preserve">：采购人指定地点。 </w:t>
      </w:r>
    </w:p>
    <w:p w14:paraId="4A83DA4B">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2.5、招标控制价：</w:t>
      </w:r>
    </w:p>
    <w:p w14:paraId="61131635">
      <w:pPr>
        <w:pStyle w:val="25"/>
        <w:keepNext w:val="0"/>
        <w:keepLines w:val="0"/>
        <w:widowControl/>
        <w:suppressLineNumbers w:val="0"/>
        <w:spacing w:before="0" w:beforeAutospacing="0" w:after="0" w:afterAutospacing="0" w:line="360" w:lineRule="auto"/>
        <w:ind w:left="0" w:right="0" w:firstLine="676" w:firstLineChars="282"/>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第一标段：3810784.00元</w:t>
      </w:r>
    </w:p>
    <w:p w14:paraId="2013163C">
      <w:pPr>
        <w:pStyle w:val="25"/>
        <w:keepNext w:val="0"/>
        <w:keepLines w:val="0"/>
        <w:widowControl/>
        <w:suppressLineNumbers w:val="0"/>
        <w:spacing w:before="0" w:beforeAutospacing="0" w:after="0" w:afterAutospacing="0" w:line="360" w:lineRule="auto"/>
        <w:ind w:left="0" w:right="0" w:firstLine="676" w:firstLineChars="282"/>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第二标段：8615896.80元</w:t>
      </w:r>
    </w:p>
    <w:p w14:paraId="496E80DF">
      <w:pPr>
        <w:pStyle w:val="25"/>
        <w:keepNext w:val="0"/>
        <w:keepLines w:val="0"/>
        <w:widowControl/>
        <w:suppressLineNumbers w:val="0"/>
        <w:spacing w:before="0" w:beforeAutospacing="0" w:after="0" w:afterAutospacing="0" w:line="360" w:lineRule="auto"/>
        <w:ind w:left="0" w:right="0" w:firstLine="676" w:firstLineChars="282"/>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第三标段：23000000.00元</w:t>
      </w:r>
    </w:p>
    <w:p w14:paraId="50F9EB49">
      <w:pPr>
        <w:pStyle w:val="25"/>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第四标段：23000000.00元</w:t>
      </w:r>
    </w:p>
    <w:p w14:paraId="222376B4">
      <w:pPr>
        <w:pStyle w:val="25"/>
        <w:keepNext w:val="0"/>
        <w:keepLines w:val="0"/>
        <w:widowControl/>
        <w:suppressLineNumbers w:val="0"/>
        <w:spacing w:before="0" w:beforeAutospacing="0" w:after="0" w:afterAutospacing="0" w:line="360" w:lineRule="auto"/>
        <w:ind w:left="0" w:right="0" w:firstLine="676" w:firstLineChars="282"/>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第五标段：18640000.00元</w:t>
      </w:r>
    </w:p>
    <w:p w14:paraId="76A60377">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2.6、供货期限：</w:t>
      </w:r>
    </w:p>
    <w:p w14:paraId="0F1E9323">
      <w:pPr>
        <w:pStyle w:val="25"/>
        <w:keepNext w:val="0"/>
        <w:keepLines w:val="0"/>
        <w:widowControl/>
        <w:suppressLineNumbers w:val="0"/>
        <w:spacing w:before="0" w:beforeAutospacing="0" w:after="0" w:afterAutospacing="0" w:line="360" w:lineRule="auto"/>
        <w:ind w:left="0" w:right="0" w:firstLine="384"/>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第一标段：签订合同后30日历天</w:t>
      </w:r>
    </w:p>
    <w:p w14:paraId="26E109C2">
      <w:pPr>
        <w:pStyle w:val="25"/>
        <w:keepNext w:val="0"/>
        <w:keepLines w:val="0"/>
        <w:widowControl/>
        <w:suppressLineNumbers w:val="0"/>
        <w:spacing w:before="0" w:beforeAutospacing="0" w:after="0" w:afterAutospacing="0" w:line="360" w:lineRule="auto"/>
        <w:ind w:left="0" w:right="0" w:firstLine="384"/>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第二标段：签订合同后50日历天</w:t>
      </w:r>
    </w:p>
    <w:p w14:paraId="11EEEAC1">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第三、四标段：签订合同后45日历天</w:t>
      </w:r>
    </w:p>
    <w:p w14:paraId="6F6F5A5A">
      <w:pPr>
        <w:pStyle w:val="25"/>
        <w:keepNext w:val="0"/>
        <w:keepLines w:val="0"/>
        <w:widowControl/>
        <w:suppressLineNumbers w:val="0"/>
        <w:spacing w:before="0" w:beforeAutospacing="0" w:after="0" w:afterAutospacing="0" w:line="360" w:lineRule="auto"/>
        <w:ind w:left="0" w:right="0" w:firstLine="384"/>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第五标段：签订合同后45日历天（其中高压氧舱为签订合同后180日历天）</w:t>
      </w:r>
    </w:p>
    <w:p w14:paraId="48297605">
      <w:pPr>
        <w:pStyle w:val="25"/>
        <w:keepNext w:val="0"/>
        <w:keepLines w:val="0"/>
        <w:widowControl/>
        <w:suppressLineNumbers w:val="0"/>
        <w:spacing w:before="0" w:beforeAutospacing="0" w:after="0" w:afterAutospacing="0" w:line="360" w:lineRule="auto"/>
        <w:ind w:left="0" w:right="0" w:firstLine="384"/>
        <w:jc w:val="left"/>
        <w:rPr>
          <w:rFonts w:hint="default"/>
          <w:color w:val="auto"/>
          <w:highlight w:val="none"/>
          <w:lang w:val="en-US" w:eastAsia="zh-CN"/>
        </w:rPr>
      </w:pPr>
      <w:r>
        <w:rPr>
          <w:rFonts w:hint="eastAsia" w:ascii="宋体" w:hAnsi="宋体" w:cs="宋体"/>
          <w:b w:val="0"/>
          <w:bCs w:val="0"/>
          <w:color w:val="auto"/>
          <w:kern w:val="2"/>
          <w:sz w:val="24"/>
          <w:szCs w:val="24"/>
          <w:highlight w:val="none"/>
          <w:lang w:val="en-US" w:eastAsia="zh-CN" w:bidi="ar-SA"/>
        </w:rPr>
        <w:t>2.7、质量要求：合格</w:t>
      </w:r>
    </w:p>
    <w:p w14:paraId="49057EEA">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2.8</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质保期：第一标段：手动病床为三年，电动病床为五年。</w:t>
      </w:r>
    </w:p>
    <w:p w14:paraId="256E46C8">
      <w:pPr>
        <w:pStyle w:val="25"/>
        <w:keepNext w:val="0"/>
        <w:keepLines w:val="0"/>
        <w:widowControl/>
        <w:suppressLineNumbers w:val="0"/>
        <w:spacing w:before="0" w:beforeAutospacing="0" w:after="0" w:afterAutospacing="0" w:line="360" w:lineRule="auto"/>
        <w:ind w:right="0" w:firstLine="1920" w:firstLineChars="800"/>
        <w:jc w:val="left"/>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第二标段：两年</w:t>
      </w:r>
    </w:p>
    <w:p w14:paraId="340D0177">
      <w:pPr>
        <w:pStyle w:val="25"/>
        <w:keepNext w:val="0"/>
        <w:keepLines w:val="0"/>
        <w:widowControl/>
        <w:suppressLineNumbers w:val="0"/>
        <w:spacing w:before="0" w:beforeAutospacing="0" w:after="0" w:afterAutospacing="0" w:line="360" w:lineRule="auto"/>
        <w:ind w:left="0" w:right="0" w:firstLine="1872" w:firstLineChars="780"/>
        <w:jc w:val="left"/>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第三、四、五标段：一年</w:t>
      </w:r>
    </w:p>
    <w:p w14:paraId="6A5CE0A0">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2.9、</w:t>
      </w:r>
      <w:r>
        <w:rPr>
          <w:rFonts w:hint="eastAsia" w:ascii="宋体" w:hAnsi="宋体" w:eastAsia="宋体" w:cs="宋体"/>
          <w:b w:val="0"/>
          <w:bCs w:val="0"/>
          <w:color w:val="000000"/>
          <w:kern w:val="2"/>
          <w:sz w:val="24"/>
          <w:szCs w:val="24"/>
          <w:highlight w:val="none"/>
          <w:lang w:val="en-US" w:eastAsia="zh-CN" w:bidi="ar-SA"/>
        </w:rPr>
        <w:t xml:space="preserve">本项目是否接受联合体投标：否。 </w:t>
      </w:r>
    </w:p>
    <w:p w14:paraId="28BD71D5">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2.10</w:t>
      </w:r>
      <w:r>
        <w:rPr>
          <w:rFonts w:hint="eastAsia" w:ascii="宋体" w:hAnsi="宋体" w:eastAsia="宋体" w:cs="宋体"/>
          <w:b w:val="0"/>
          <w:bCs w:val="0"/>
          <w:color w:val="000000"/>
          <w:kern w:val="2"/>
          <w:sz w:val="24"/>
          <w:szCs w:val="24"/>
          <w:highlight w:val="none"/>
          <w:lang w:val="en-US" w:eastAsia="zh-CN" w:bidi="ar-SA"/>
        </w:rPr>
        <w:t>、是否接受进口产品：否。</w:t>
      </w:r>
    </w:p>
    <w:p w14:paraId="1003AC32">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落实政府采购政策满足的资格要求：节约能源、保护环境、扶持不发达地区和少数民族地区、促进中小企业发展等政府采购政策。</w:t>
      </w:r>
    </w:p>
    <w:p w14:paraId="43D4659B">
      <w:pPr>
        <w:pStyle w:val="25"/>
        <w:keepNext w:val="0"/>
        <w:keepLines w:val="0"/>
        <w:widowControl/>
        <w:suppressLineNumbers w:val="0"/>
        <w:spacing w:before="0" w:beforeAutospacing="0" w:after="0" w:afterAutospacing="0" w:line="360" w:lineRule="auto"/>
        <w:ind w:left="0" w:right="0"/>
        <w:rPr>
          <w:rStyle w:val="31"/>
          <w:rFonts w:hint="eastAsia" w:ascii="宋体" w:hAnsi="宋体" w:eastAsia="宋体" w:cs="宋体"/>
          <w:b/>
          <w:color w:val="000000"/>
          <w:sz w:val="24"/>
          <w:szCs w:val="24"/>
          <w:highlight w:val="none"/>
          <w:shd w:val="clear" w:color="auto" w:fill="FFFFFF"/>
        </w:rPr>
      </w:pPr>
      <w:r>
        <w:rPr>
          <w:rStyle w:val="31"/>
          <w:rFonts w:hint="eastAsia" w:ascii="宋体" w:hAnsi="宋体" w:eastAsia="宋体" w:cs="宋体"/>
          <w:b/>
          <w:color w:val="000000"/>
          <w:sz w:val="24"/>
          <w:szCs w:val="24"/>
          <w:highlight w:val="none"/>
          <w:shd w:val="clear" w:color="auto" w:fill="FFFFFF"/>
        </w:rPr>
        <w:t>三、</w:t>
      </w:r>
      <w:r>
        <w:rPr>
          <w:rStyle w:val="31"/>
          <w:rFonts w:hint="eastAsia" w:ascii="宋体" w:hAnsi="宋体" w:eastAsia="宋体" w:cs="宋体"/>
          <w:b/>
          <w:color w:val="000000"/>
          <w:sz w:val="24"/>
          <w:szCs w:val="24"/>
          <w:highlight w:val="none"/>
          <w:shd w:val="clear" w:color="auto" w:fill="FFFFFF"/>
          <w:lang w:val="en-US" w:eastAsia="zh-CN"/>
        </w:rPr>
        <w:t>供应商</w:t>
      </w:r>
      <w:r>
        <w:rPr>
          <w:rStyle w:val="31"/>
          <w:rFonts w:hint="eastAsia" w:ascii="宋体" w:hAnsi="宋体" w:eastAsia="宋体" w:cs="宋体"/>
          <w:b/>
          <w:color w:val="000000"/>
          <w:sz w:val="24"/>
          <w:szCs w:val="24"/>
          <w:highlight w:val="none"/>
          <w:shd w:val="clear" w:color="auto" w:fill="FFFFFF"/>
        </w:rPr>
        <w:t>资格要求：</w:t>
      </w:r>
    </w:p>
    <w:p w14:paraId="63BAB4EA">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3.1.符合《中华人民共和国政府采购法》第二十二条的规定：</w:t>
      </w:r>
    </w:p>
    <w:p w14:paraId="22C2585F">
      <w:pPr>
        <w:pStyle w:val="25"/>
        <w:keepNext w:val="0"/>
        <w:keepLines w:val="0"/>
        <w:widowControl/>
        <w:suppressLineNumbers w:val="0"/>
        <w:spacing w:before="0" w:beforeAutospacing="0" w:after="0" w:afterAutospacing="0" w:line="360" w:lineRule="auto"/>
        <w:ind w:right="0" w:firstLine="720" w:firstLineChars="3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（1）供应商具有独立承担民事责任的能力（提供有效的营业执照）；</w:t>
      </w:r>
    </w:p>
    <w:p w14:paraId="15AE66BB">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（2）具有良好的商业信誉和健全的财务会计制度（提供2022年度或2023年度财务审计报告（注册时间不足一年提供银行资信证明</w:t>
      </w:r>
      <w:r>
        <w:rPr>
          <w:rFonts w:hint="eastAsia" w:ascii="宋体" w:hAnsi="宋体" w:cs="宋体"/>
          <w:b w:val="0"/>
          <w:bCs w:val="0"/>
          <w:color w:val="000000"/>
          <w:kern w:val="2"/>
          <w:sz w:val="24"/>
          <w:szCs w:val="24"/>
          <w:highlight w:val="none"/>
          <w:lang w:val="en-US" w:eastAsia="zh-CN" w:bidi="ar-SA"/>
        </w:rPr>
        <w:t>或承诺函</w:t>
      </w:r>
      <w:r>
        <w:rPr>
          <w:rFonts w:hint="eastAsia" w:ascii="宋体" w:hAnsi="宋体" w:eastAsia="宋体" w:cs="宋体"/>
          <w:b w:val="0"/>
          <w:bCs w:val="0"/>
          <w:color w:val="000000"/>
          <w:kern w:val="2"/>
          <w:sz w:val="24"/>
          <w:szCs w:val="24"/>
          <w:highlight w:val="none"/>
          <w:lang w:val="en-US" w:eastAsia="zh-CN" w:bidi="ar-SA"/>
        </w:rPr>
        <w:t>）；</w:t>
      </w:r>
    </w:p>
    <w:p w14:paraId="2E962FA4">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（3）具有履行合同所必须的设备和专业技术能力（提供书面承诺）；</w:t>
      </w:r>
    </w:p>
    <w:p w14:paraId="6407ED75">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（4）有依法缴纳税收和社会保障资金的良好记录（提供</w:t>
      </w:r>
      <w:r>
        <w:rPr>
          <w:rFonts w:hint="eastAsia" w:ascii="宋体" w:hAnsi="宋体" w:cs="宋体"/>
          <w:b w:val="0"/>
          <w:bCs w:val="0"/>
          <w:color w:val="000000"/>
          <w:kern w:val="2"/>
          <w:sz w:val="24"/>
          <w:szCs w:val="24"/>
          <w:highlight w:val="none"/>
          <w:lang w:val="en-US" w:eastAsia="zh-CN" w:bidi="ar-SA"/>
        </w:rPr>
        <w:t>2024年1月以来</w:t>
      </w:r>
      <w:r>
        <w:rPr>
          <w:rFonts w:hint="eastAsia" w:ascii="宋体" w:hAnsi="宋体" w:eastAsia="宋体" w:cs="宋体"/>
          <w:b w:val="0"/>
          <w:bCs w:val="0"/>
          <w:color w:val="000000"/>
          <w:kern w:val="2"/>
          <w:sz w:val="24"/>
          <w:szCs w:val="24"/>
          <w:highlight w:val="none"/>
          <w:lang w:val="en-US" w:eastAsia="zh-CN" w:bidi="ar-SA"/>
        </w:rPr>
        <w:t>任意一个月的依法缴纳税收凭证和社会保障资金的缴纳凭证，依法免税或不需要缴纳社会保障资金的供应商，应提供相应文件证明其依法免税或不需要缴纳社会保障金）；</w:t>
      </w:r>
    </w:p>
    <w:p w14:paraId="6D9200F7">
      <w:pPr>
        <w:pStyle w:val="25"/>
        <w:keepNext w:val="0"/>
        <w:keepLines w:val="0"/>
        <w:widowControl/>
        <w:suppressLineNumbers w:val="0"/>
        <w:spacing w:before="0" w:beforeAutospacing="0" w:after="0" w:afterAutospacing="0" w:line="360" w:lineRule="auto"/>
        <w:ind w:left="522" w:leftChars="228" w:right="0" w:hanging="43" w:hangingChars="18"/>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（5）参加政府采购活动前三年内，在经营活动中没有重大违法记录（提供书面声明函）。（6）法律、行政法规规定的其他条件。</w:t>
      </w:r>
      <w:r>
        <w:rPr>
          <w:rFonts w:hint="eastAsia" w:ascii="宋体" w:hAnsi="宋体" w:cs="宋体"/>
          <w:b w:val="0"/>
          <w:bCs w:val="0"/>
          <w:color w:val="000000"/>
          <w:kern w:val="2"/>
          <w:sz w:val="24"/>
          <w:szCs w:val="24"/>
          <w:highlight w:val="none"/>
          <w:lang w:val="en-US" w:eastAsia="zh-CN" w:bidi="ar-SA"/>
        </w:rPr>
        <w:t>（提供</w:t>
      </w:r>
      <w:r>
        <w:rPr>
          <w:rFonts w:hint="eastAsia" w:ascii="宋体" w:hAnsi="宋体" w:eastAsia="宋体" w:cs="宋体"/>
          <w:b w:val="0"/>
          <w:bCs w:val="0"/>
          <w:color w:val="000000"/>
          <w:kern w:val="2"/>
          <w:sz w:val="24"/>
          <w:szCs w:val="24"/>
          <w:highlight w:val="none"/>
          <w:lang w:val="en-US" w:eastAsia="zh-CN" w:bidi="ar-SA"/>
        </w:rPr>
        <w:t>书面承诺</w:t>
      </w:r>
      <w:r>
        <w:rPr>
          <w:rFonts w:hint="eastAsia" w:ascii="宋体" w:hAnsi="宋体" w:cs="宋体"/>
          <w:b w:val="0"/>
          <w:bCs w:val="0"/>
          <w:color w:val="000000"/>
          <w:kern w:val="2"/>
          <w:sz w:val="24"/>
          <w:szCs w:val="24"/>
          <w:highlight w:val="none"/>
          <w:lang w:val="en-US" w:eastAsia="zh-CN" w:bidi="ar-SA"/>
        </w:rPr>
        <w:t>）</w:t>
      </w:r>
    </w:p>
    <w:p w14:paraId="040E0211">
      <w:pPr>
        <w:pStyle w:val="25"/>
        <w:keepNext w:val="0"/>
        <w:keepLines w:val="0"/>
        <w:widowControl/>
        <w:suppressLineNumbers w:val="0"/>
        <w:spacing w:before="0" w:beforeAutospacing="0" w:after="0" w:afterAutospacing="0" w:line="360" w:lineRule="auto"/>
        <w:ind w:left="522" w:leftChars="228" w:right="0" w:hanging="43" w:hangingChars="18"/>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3.2特殊资质要求</w:t>
      </w:r>
    </w:p>
    <w:p w14:paraId="60117FCA">
      <w:pPr>
        <w:pStyle w:val="25"/>
        <w:keepNext w:val="0"/>
        <w:keepLines w:val="0"/>
        <w:widowControl/>
        <w:numPr>
          <w:ilvl w:val="0"/>
          <w:numId w:val="2"/>
        </w:numPr>
        <w:suppressLineNumbers w:val="0"/>
        <w:spacing w:before="0" w:beforeAutospacing="0" w:after="0" w:afterAutospacing="0" w:line="360" w:lineRule="auto"/>
        <w:ind w:left="522" w:leftChars="228" w:right="0" w:hanging="43" w:hangingChars="18"/>
        <w:jc w:val="left"/>
        <w:rPr>
          <w:rFonts w:hint="default" w:ascii="宋体" w:hAnsi="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三、四、五标段：投标人为经销商的提供所投医疗器械对应类别的《医疗器械经营备案凭证》或《医疗器械经营许可证》，投标人若为生产商的提供所投医疗器械对应类别的《医疗</w:t>
      </w:r>
      <w:r>
        <w:rPr>
          <w:rFonts w:hint="eastAsia" w:ascii="宋体" w:hAnsi="宋体" w:cs="宋体"/>
          <w:b w:val="0"/>
          <w:bCs w:val="0"/>
          <w:color w:val="000000"/>
          <w:kern w:val="2"/>
          <w:sz w:val="24"/>
          <w:szCs w:val="24"/>
          <w:highlight w:val="none"/>
          <w:lang w:val="en-US" w:eastAsia="zh-CN" w:bidi="ar-SA"/>
        </w:rPr>
        <w:t>器械生产备案凭证》或《医疗器械生产许可证》。</w:t>
      </w:r>
    </w:p>
    <w:p w14:paraId="6E0B304D">
      <w:pPr>
        <w:pStyle w:val="25"/>
        <w:keepNext w:val="0"/>
        <w:keepLines w:val="0"/>
        <w:widowControl/>
        <w:suppressLineNumbers w:val="0"/>
        <w:spacing w:before="0" w:beforeAutospacing="0" w:after="0" w:afterAutospacing="0" w:line="360" w:lineRule="auto"/>
        <w:ind w:left="522" w:leftChars="228" w:right="0" w:hanging="43" w:hangingChars="18"/>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3.3</w:t>
      </w:r>
      <w:r>
        <w:rPr>
          <w:rFonts w:hint="eastAsia" w:ascii="宋体" w:hAnsi="宋体" w:eastAsia="宋体" w:cs="宋体"/>
          <w:b w:val="0"/>
          <w:bCs w:val="0"/>
          <w:color w:val="000000"/>
          <w:kern w:val="2"/>
          <w:sz w:val="24"/>
          <w:szCs w:val="24"/>
          <w:highlight w:val="none"/>
          <w:lang w:val="en-US" w:eastAsia="zh-CN" w:bidi="ar-SA"/>
        </w:rPr>
        <w:t>按照《财政部关于在政府采购活动中查询及使用信用记录有关问题的通知》（财库〔2016〕125号）的要求，根据 “信用中国”网站（www.creditchina.gov.cn）或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w:t>
      </w:r>
      <w:r>
        <w:rPr>
          <w:rFonts w:hint="eastAsia" w:ascii="宋体" w:hAnsi="宋体" w:cs="宋体"/>
          <w:b w:val="0"/>
          <w:bCs w:val="0"/>
          <w:color w:val="000000"/>
          <w:kern w:val="2"/>
          <w:sz w:val="24"/>
          <w:szCs w:val="24"/>
          <w:highlight w:val="none"/>
          <w:lang w:val="en-US" w:eastAsia="zh-CN" w:bidi="ar-SA"/>
        </w:rPr>
        <w:t>本次</w:t>
      </w:r>
      <w:r>
        <w:rPr>
          <w:rFonts w:hint="eastAsia" w:ascii="宋体" w:hAnsi="宋体" w:eastAsia="宋体" w:cs="宋体"/>
          <w:b w:val="0"/>
          <w:bCs w:val="0"/>
          <w:color w:val="000000"/>
          <w:kern w:val="2"/>
          <w:sz w:val="24"/>
          <w:szCs w:val="24"/>
          <w:highlight w:val="none"/>
          <w:lang w:val="en-US" w:eastAsia="zh-CN" w:bidi="ar-SA"/>
        </w:rPr>
        <w:t>政府采购活动。</w:t>
      </w:r>
    </w:p>
    <w:p w14:paraId="6FE7809A">
      <w:pPr>
        <w:pStyle w:val="25"/>
        <w:keepNext w:val="0"/>
        <w:keepLines w:val="0"/>
        <w:widowControl/>
        <w:suppressLineNumbers w:val="0"/>
        <w:spacing w:before="0" w:beforeAutospacing="0" w:after="0" w:afterAutospacing="0" w:line="360" w:lineRule="auto"/>
        <w:ind w:left="522" w:leftChars="228" w:right="0" w:hanging="43" w:hangingChars="18"/>
        <w:jc w:val="left"/>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3.4 本项目不接受联合体投标。</w:t>
      </w:r>
    </w:p>
    <w:p w14:paraId="54D44AF2">
      <w:pPr>
        <w:pStyle w:val="25"/>
        <w:keepNext w:val="0"/>
        <w:keepLines w:val="0"/>
        <w:widowControl/>
        <w:suppressLineNumbers w:val="0"/>
        <w:spacing w:before="0" w:beforeAutospacing="0" w:after="0" w:afterAutospacing="0" w:line="360" w:lineRule="auto"/>
        <w:ind w:right="0" w:firstLine="480" w:firstLineChars="200"/>
        <w:jc w:val="left"/>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3.5 投标人可投报多个标段，但最多只能中两个标段（按照标段自然顺序评审）。</w:t>
      </w:r>
    </w:p>
    <w:p w14:paraId="53DF9187">
      <w:pPr>
        <w:pStyle w:val="25"/>
        <w:keepNext w:val="0"/>
        <w:keepLines w:val="0"/>
        <w:widowControl/>
        <w:suppressLineNumbers w:val="0"/>
        <w:spacing w:before="0" w:beforeAutospacing="0" w:after="0" w:afterAutospacing="0" w:line="360" w:lineRule="auto"/>
        <w:ind w:right="0"/>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四、获取招标文件</w:t>
      </w:r>
    </w:p>
    <w:p w14:paraId="28735920">
      <w:pPr>
        <w:pStyle w:val="25"/>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4.1本项目采用网上报名：凡有意参加投标者，请使用企业数字证书（key）登录商丘市公共资源交易中心网站（http://ggzyjy.shangqiu.gov.cn/）点击公告中的我要报名或者登陆后选择项目按照页面提示进场网上报名，下载招标文件。</w:t>
      </w:r>
    </w:p>
    <w:p w14:paraId="056A79D2">
      <w:pPr>
        <w:pStyle w:val="25"/>
        <w:keepNext w:val="0"/>
        <w:keepLines w:val="0"/>
        <w:widowControl/>
        <w:suppressLineNumbers w:val="0"/>
        <w:spacing w:before="0" w:beforeAutospacing="0" w:after="0" w:afterAutospacing="0" w:line="360" w:lineRule="auto"/>
        <w:ind w:right="0" w:firstLine="480" w:firstLineChars="2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招标文件获取：企业可直接在该公告下方相关附件下载也可以免费注册登陆交易平台下载，各供应商如确定要参与项目投标，因在电子投标文件制作和投标过程中需要用到CA数字证书的加密、解密、电子签章等功能，请在制作投标文件前办理CA数字证书，以免影响自身投标。</w:t>
      </w:r>
    </w:p>
    <w:p w14:paraId="677231D7">
      <w:pPr>
        <w:pStyle w:val="25"/>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4.2报名时间：开始时间默认为公告发布时间，结束时间默认为开标时间。</w:t>
      </w:r>
    </w:p>
    <w:p w14:paraId="4B951DF1">
      <w:pPr>
        <w:pStyle w:val="25"/>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4.3请在规定时间内报名，超过时间将停止报名。</w:t>
      </w:r>
    </w:p>
    <w:p w14:paraId="74DCC5A6">
      <w:pPr>
        <w:pStyle w:val="25"/>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4.4</w:t>
      </w:r>
      <w:r>
        <w:rPr>
          <w:rFonts w:hint="eastAsia" w:ascii="宋体" w:hAnsi="宋体" w:cs="宋体"/>
          <w:b w:val="0"/>
          <w:bCs w:val="0"/>
          <w:color w:val="000000"/>
          <w:kern w:val="2"/>
          <w:sz w:val="24"/>
          <w:szCs w:val="24"/>
          <w:highlight w:val="none"/>
          <w:lang w:val="en-US" w:eastAsia="zh-CN" w:bidi="ar-SA"/>
        </w:rPr>
        <w:t>投标</w:t>
      </w:r>
      <w:r>
        <w:rPr>
          <w:rFonts w:hint="eastAsia" w:ascii="宋体" w:hAnsi="宋体" w:eastAsia="宋体" w:cs="宋体"/>
          <w:b w:val="0"/>
          <w:bCs w:val="0"/>
          <w:color w:val="000000"/>
          <w:kern w:val="2"/>
          <w:sz w:val="24"/>
          <w:szCs w:val="24"/>
          <w:highlight w:val="none"/>
          <w:lang w:val="en-US" w:eastAsia="zh-CN" w:bidi="ar-SA"/>
        </w:rPr>
        <w:t>文件下载时间：开始时间默认为公告发布时间，结束时间默认为开标时间。</w:t>
      </w:r>
    </w:p>
    <w:p w14:paraId="0817AF72">
      <w:pPr>
        <w:pStyle w:val="25"/>
        <w:keepNext w:val="0"/>
        <w:keepLines w:val="0"/>
        <w:widowControl/>
        <w:suppressLineNumbers w:val="0"/>
        <w:spacing w:before="0" w:beforeAutospacing="0" w:after="0" w:afterAutospacing="0" w:line="360" w:lineRule="auto"/>
        <w:ind w:right="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供应商</w:t>
      </w:r>
      <w:r>
        <w:rPr>
          <w:rFonts w:hint="eastAsia" w:ascii="宋体" w:hAnsi="宋体" w:eastAsia="宋体" w:cs="宋体"/>
          <w:b w:val="0"/>
          <w:bCs w:val="0"/>
          <w:color w:val="000000"/>
          <w:kern w:val="2"/>
          <w:sz w:val="24"/>
          <w:szCs w:val="24"/>
          <w:highlight w:val="none"/>
          <w:lang w:val="en-US" w:eastAsia="zh-CN" w:bidi="ar-SA"/>
        </w:rPr>
        <w:t>报名操作说明书请在商丘市公共资源交易网站下载专区下载。</w:t>
      </w:r>
    </w:p>
    <w:p w14:paraId="18FDB09A">
      <w:pPr>
        <w:pStyle w:val="25"/>
        <w:keepNext w:val="0"/>
        <w:keepLines w:val="0"/>
        <w:widowControl/>
        <w:suppressLineNumbers w:val="0"/>
        <w:spacing w:before="0" w:beforeAutospacing="0" w:after="0" w:afterAutospacing="0" w:line="360" w:lineRule="auto"/>
        <w:ind w:right="0"/>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五、投标文件截止时间、开标时间和地点</w:t>
      </w:r>
    </w:p>
    <w:p w14:paraId="5C46D299">
      <w:pPr>
        <w:pStyle w:val="25"/>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5.1</w:t>
      </w:r>
      <w:r>
        <w:rPr>
          <w:rFonts w:hint="eastAsia" w:ascii="宋体" w:hAnsi="宋体" w:cs="宋体"/>
          <w:b w:val="0"/>
          <w:bCs w:val="0"/>
          <w:color w:val="000000"/>
          <w:kern w:val="2"/>
          <w:sz w:val="24"/>
          <w:szCs w:val="24"/>
          <w:highlight w:val="none"/>
          <w:lang w:val="en-US" w:eastAsia="zh-CN" w:bidi="ar-SA"/>
        </w:rPr>
        <w:t>投标</w:t>
      </w:r>
      <w:r>
        <w:rPr>
          <w:rFonts w:hint="eastAsia" w:ascii="宋体" w:hAnsi="宋体" w:eastAsia="宋体" w:cs="宋体"/>
          <w:b w:val="0"/>
          <w:bCs w:val="0"/>
          <w:color w:val="000000"/>
          <w:kern w:val="2"/>
          <w:sz w:val="24"/>
          <w:szCs w:val="24"/>
          <w:highlight w:val="none"/>
          <w:lang w:val="en-US" w:eastAsia="zh-CN" w:bidi="ar-SA"/>
        </w:rPr>
        <w:t>文件递交的截止时间及</w:t>
      </w:r>
      <w:r>
        <w:rPr>
          <w:rFonts w:hint="eastAsia" w:ascii="宋体" w:hAnsi="宋体" w:cs="宋体"/>
          <w:b w:val="0"/>
          <w:bCs w:val="0"/>
          <w:color w:val="000000"/>
          <w:kern w:val="2"/>
          <w:sz w:val="24"/>
          <w:szCs w:val="24"/>
          <w:highlight w:val="none"/>
          <w:lang w:val="en-US" w:eastAsia="zh-CN" w:bidi="ar-SA"/>
        </w:rPr>
        <w:t>开标</w:t>
      </w:r>
      <w:r>
        <w:rPr>
          <w:rFonts w:hint="eastAsia" w:ascii="宋体" w:hAnsi="宋体" w:eastAsia="宋体" w:cs="宋体"/>
          <w:b w:val="0"/>
          <w:bCs w:val="0"/>
          <w:color w:val="000000"/>
          <w:kern w:val="2"/>
          <w:sz w:val="24"/>
          <w:szCs w:val="24"/>
          <w:highlight w:val="none"/>
          <w:lang w:val="en-US" w:eastAsia="zh-CN" w:bidi="ar-SA"/>
        </w:rPr>
        <w:t>时间：2024年</w:t>
      </w:r>
      <w:r>
        <w:rPr>
          <w:rFonts w:hint="eastAsia" w:ascii="宋体" w:hAnsi="宋体" w:cs="宋体"/>
          <w:b w:val="0"/>
          <w:bCs w:val="0"/>
          <w:color w:val="000000"/>
          <w:kern w:val="2"/>
          <w:sz w:val="24"/>
          <w:szCs w:val="24"/>
          <w:highlight w:val="none"/>
          <w:lang w:val="en-US" w:eastAsia="zh-CN" w:bidi="ar-SA"/>
        </w:rPr>
        <w:t>11</w:t>
      </w:r>
      <w:r>
        <w:rPr>
          <w:rFonts w:hint="eastAsia" w:ascii="宋体" w:hAnsi="宋体" w:eastAsia="宋体" w:cs="宋体"/>
          <w:b w:val="0"/>
          <w:bCs w:val="0"/>
          <w:color w:val="000000"/>
          <w:kern w:val="2"/>
          <w:sz w:val="24"/>
          <w:szCs w:val="24"/>
          <w:highlight w:val="none"/>
          <w:lang w:val="en-US" w:eastAsia="zh-CN" w:bidi="ar-SA"/>
        </w:rPr>
        <w:t>月</w:t>
      </w:r>
      <w:r>
        <w:rPr>
          <w:rFonts w:hint="eastAsia" w:ascii="宋体" w:hAnsi="宋体" w:cs="宋体"/>
          <w:b w:val="0"/>
          <w:bCs w:val="0"/>
          <w:color w:val="000000"/>
          <w:kern w:val="2"/>
          <w:sz w:val="24"/>
          <w:szCs w:val="24"/>
          <w:highlight w:val="none"/>
          <w:lang w:val="en-US" w:eastAsia="zh-CN" w:bidi="ar-SA"/>
        </w:rPr>
        <w:t>25</w:t>
      </w:r>
      <w:r>
        <w:rPr>
          <w:rFonts w:hint="eastAsia" w:ascii="宋体" w:hAnsi="宋体" w:eastAsia="宋体" w:cs="宋体"/>
          <w:b w:val="0"/>
          <w:bCs w:val="0"/>
          <w:color w:val="000000"/>
          <w:kern w:val="2"/>
          <w:sz w:val="24"/>
          <w:szCs w:val="24"/>
          <w:highlight w:val="none"/>
          <w:lang w:val="en-US" w:eastAsia="zh-CN" w:bidi="ar-SA"/>
        </w:rPr>
        <w:t>日上午9时00分（北京时间）</w:t>
      </w:r>
    </w:p>
    <w:p w14:paraId="5325E81C">
      <w:pPr>
        <w:pStyle w:val="25"/>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5.2</w:t>
      </w:r>
      <w:r>
        <w:rPr>
          <w:rFonts w:hint="eastAsia" w:ascii="宋体" w:hAnsi="宋体" w:cs="宋体"/>
          <w:b w:val="0"/>
          <w:bCs w:val="0"/>
          <w:color w:val="000000"/>
          <w:kern w:val="2"/>
          <w:sz w:val="24"/>
          <w:szCs w:val="24"/>
          <w:highlight w:val="none"/>
          <w:lang w:val="en-US" w:eastAsia="zh-CN" w:bidi="ar-SA"/>
        </w:rPr>
        <w:t>开标</w:t>
      </w:r>
      <w:r>
        <w:rPr>
          <w:rFonts w:hint="eastAsia" w:ascii="宋体" w:hAnsi="宋体" w:eastAsia="宋体" w:cs="宋体"/>
          <w:b w:val="0"/>
          <w:bCs w:val="0"/>
          <w:color w:val="000000"/>
          <w:kern w:val="2"/>
          <w:sz w:val="24"/>
          <w:szCs w:val="24"/>
          <w:highlight w:val="none"/>
          <w:lang w:val="en-US" w:eastAsia="zh-CN" w:bidi="ar-SA"/>
        </w:rPr>
        <w:t>地点：商丘市公共资源交易中心</w:t>
      </w:r>
      <w:r>
        <w:rPr>
          <w:rFonts w:hint="eastAsia" w:ascii="宋体" w:hAnsi="宋体" w:cs="宋体"/>
          <w:b w:val="0"/>
          <w:bCs w:val="0"/>
          <w:color w:val="000000"/>
          <w:kern w:val="2"/>
          <w:sz w:val="24"/>
          <w:szCs w:val="24"/>
          <w:highlight w:val="none"/>
          <w:lang w:val="en-US" w:eastAsia="zh-CN" w:bidi="ar-SA"/>
        </w:rPr>
        <w:t>二</w:t>
      </w:r>
      <w:r>
        <w:rPr>
          <w:rFonts w:hint="eastAsia" w:ascii="宋体" w:hAnsi="宋体" w:eastAsia="宋体" w:cs="宋体"/>
          <w:b w:val="0"/>
          <w:bCs w:val="0"/>
          <w:color w:val="000000"/>
          <w:kern w:val="2"/>
          <w:sz w:val="24"/>
          <w:szCs w:val="24"/>
          <w:highlight w:val="none"/>
          <w:lang w:val="en-US" w:eastAsia="zh-CN" w:bidi="ar-SA"/>
        </w:rPr>
        <w:t>楼开</w:t>
      </w:r>
      <w:r>
        <w:rPr>
          <w:rFonts w:hint="eastAsia" w:ascii="宋体" w:hAnsi="宋体" w:eastAsia="宋体" w:cs="宋体"/>
          <w:b w:val="0"/>
          <w:bCs w:val="0"/>
          <w:color w:val="auto"/>
          <w:kern w:val="2"/>
          <w:sz w:val="24"/>
          <w:szCs w:val="24"/>
          <w:highlight w:val="none"/>
          <w:lang w:val="en-US" w:eastAsia="zh-CN" w:bidi="ar-SA"/>
        </w:rPr>
        <w:t>标席位</w:t>
      </w:r>
      <w:r>
        <w:rPr>
          <w:rFonts w:hint="eastAsia" w:ascii="宋体" w:hAnsi="宋体" w:cs="宋体"/>
          <w:b w:val="0"/>
          <w:bCs w:val="0"/>
          <w:color w:val="auto"/>
          <w:kern w:val="2"/>
          <w:sz w:val="24"/>
          <w:szCs w:val="24"/>
          <w:highlight w:val="none"/>
          <w:lang w:val="en-US" w:eastAsia="zh-CN" w:bidi="ar-SA"/>
        </w:rPr>
        <w:t>六</w:t>
      </w:r>
      <w:r>
        <w:rPr>
          <w:rFonts w:hint="eastAsia" w:ascii="宋体" w:hAnsi="宋体" w:eastAsia="宋体" w:cs="宋体"/>
          <w:b w:val="0"/>
          <w:bCs w:val="0"/>
          <w:color w:val="auto"/>
          <w:kern w:val="2"/>
          <w:sz w:val="24"/>
          <w:szCs w:val="24"/>
          <w:highlight w:val="none"/>
          <w:lang w:val="en-US" w:eastAsia="zh-CN" w:bidi="ar-SA"/>
        </w:rPr>
        <w:t>（商</w:t>
      </w:r>
      <w:r>
        <w:rPr>
          <w:rFonts w:hint="eastAsia" w:ascii="宋体" w:hAnsi="宋体" w:eastAsia="宋体" w:cs="宋体"/>
          <w:b w:val="0"/>
          <w:bCs w:val="0"/>
          <w:color w:val="000000"/>
          <w:kern w:val="2"/>
          <w:sz w:val="24"/>
          <w:szCs w:val="24"/>
          <w:highlight w:val="none"/>
          <w:lang w:val="en-US" w:eastAsia="zh-CN" w:bidi="ar-SA"/>
        </w:rPr>
        <w:t>丘市中州路与南京路交叉口西南角）。</w:t>
      </w:r>
    </w:p>
    <w:p w14:paraId="5369EB26">
      <w:pPr>
        <w:pStyle w:val="25"/>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5.3本项目实行不见面开评标，</w:t>
      </w:r>
      <w:r>
        <w:rPr>
          <w:rFonts w:hint="eastAsia" w:ascii="宋体" w:hAnsi="宋体" w:cs="宋体"/>
          <w:b w:val="0"/>
          <w:bCs w:val="0"/>
          <w:color w:val="000000"/>
          <w:kern w:val="2"/>
          <w:sz w:val="24"/>
          <w:szCs w:val="24"/>
          <w:highlight w:val="none"/>
          <w:lang w:val="en-US" w:eastAsia="zh-CN" w:bidi="ar-SA"/>
        </w:rPr>
        <w:t>供应商</w:t>
      </w:r>
      <w:r>
        <w:rPr>
          <w:rFonts w:hint="eastAsia" w:ascii="宋体" w:hAnsi="宋体" w:eastAsia="宋体" w:cs="宋体"/>
          <w:b w:val="0"/>
          <w:bCs w:val="0"/>
          <w:color w:val="000000"/>
          <w:kern w:val="2"/>
          <w:sz w:val="24"/>
          <w:szCs w:val="24"/>
          <w:highlight w:val="none"/>
          <w:lang w:val="en-US" w:eastAsia="zh-CN" w:bidi="ar-SA"/>
        </w:rPr>
        <w:t>不需要再到现场（需要现场演示或样品展示的除外），</w:t>
      </w:r>
      <w:r>
        <w:rPr>
          <w:rFonts w:hint="eastAsia" w:ascii="宋体" w:hAnsi="宋体" w:cs="宋体"/>
          <w:b w:val="0"/>
          <w:bCs w:val="0"/>
          <w:color w:val="000000"/>
          <w:kern w:val="2"/>
          <w:sz w:val="24"/>
          <w:szCs w:val="24"/>
          <w:highlight w:val="none"/>
          <w:lang w:val="en-US" w:eastAsia="zh-CN" w:bidi="ar-SA"/>
        </w:rPr>
        <w:t>供应商</w:t>
      </w:r>
      <w:r>
        <w:rPr>
          <w:rFonts w:hint="eastAsia" w:ascii="宋体" w:hAnsi="宋体" w:eastAsia="宋体" w:cs="宋体"/>
          <w:b w:val="0"/>
          <w:bCs w:val="0"/>
          <w:color w:val="000000"/>
          <w:kern w:val="2"/>
          <w:sz w:val="24"/>
          <w:szCs w:val="24"/>
          <w:highlight w:val="none"/>
          <w:lang w:val="en-US" w:eastAsia="zh-CN" w:bidi="ar-SA"/>
        </w:rPr>
        <w:t>签到、投标文件线上解密、</w:t>
      </w:r>
      <w:r>
        <w:rPr>
          <w:rFonts w:hint="eastAsia" w:ascii="宋体" w:hAnsi="宋体" w:cs="宋体"/>
          <w:b w:val="0"/>
          <w:bCs w:val="0"/>
          <w:color w:val="000000"/>
          <w:kern w:val="2"/>
          <w:sz w:val="24"/>
          <w:szCs w:val="24"/>
          <w:highlight w:val="none"/>
          <w:lang w:val="en-US" w:eastAsia="zh-CN" w:bidi="ar-SA"/>
        </w:rPr>
        <w:t>供应商</w:t>
      </w:r>
      <w:r>
        <w:rPr>
          <w:rFonts w:hint="eastAsia" w:ascii="宋体" w:hAnsi="宋体" w:eastAsia="宋体" w:cs="宋体"/>
          <w:b w:val="0"/>
          <w:bCs w:val="0"/>
          <w:color w:val="000000"/>
          <w:kern w:val="2"/>
          <w:sz w:val="24"/>
          <w:szCs w:val="24"/>
          <w:highlight w:val="none"/>
          <w:lang w:val="en-US" w:eastAsia="zh-CN" w:bidi="ar-SA"/>
        </w:rPr>
        <w:t>在开评标过程中应保持系统登录状态。具体流程详见交易中心系统2019年12月31日发布的《关于实行全过程不见面交易的公告》详见附件“</w:t>
      </w:r>
      <w:r>
        <w:rPr>
          <w:rFonts w:hint="eastAsia" w:ascii="宋体" w:hAnsi="宋体" w:eastAsia="宋体" w:cs="宋体"/>
          <w:b w:val="0"/>
          <w:bCs w:val="0"/>
          <w:color w:val="000000"/>
          <w:kern w:val="2"/>
          <w:sz w:val="24"/>
          <w:szCs w:val="24"/>
          <w:highlight w:val="none"/>
          <w:lang w:val="en-US" w:eastAsia="zh-CN" w:bidi="ar-SA"/>
        </w:rPr>
        <w:fldChar w:fldCharType="begin"/>
      </w:r>
      <w:r>
        <w:rPr>
          <w:rFonts w:hint="eastAsia" w:ascii="宋体" w:hAnsi="宋体" w:eastAsia="宋体" w:cs="宋体"/>
          <w:b w:val="0"/>
          <w:bCs w:val="0"/>
          <w:color w:val="000000"/>
          <w:kern w:val="2"/>
          <w:sz w:val="24"/>
          <w:szCs w:val="24"/>
          <w:highlight w:val="none"/>
          <w:lang w:val="en-US" w:eastAsia="zh-CN" w:bidi="ar-SA"/>
        </w:rPr>
        <w:instrText xml:space="preserve"> HYPERLINK "http://www.sqggzy.com/spweb/HNSQ/FileDown/NewsFile.do?file=944e4abb-13ee-45fd-a5b0-7cc36d2de9e8" \o "点击下载" \t "http://www.sqggzy.com/spweb/HNSQ/InformationCenter/_blank" </w:instrText>
      </w:r>
      <w:r>
        <w:rPr>
          <w:rFonts w:hint="eastAsia" w:ascii="宋体" w:hAnsi="宋体" w:eastAsia="宋体" w:cs="宋体"/>
          <w:b w:val="0"/>
          <w:bCs w:val="0"/>
          <w:color w:val="000000"/>
          <w:kern w:val="2"/>
          <w:sz w:val="24"/>
          <w:szCs w:val="24"/>
          <w:highlight w:val="none"/>
          <w:lang w:val="en-US" w:eastAsia="zh-CN" w:bidi="ar-SA"/>
        </w:rPr>
        <w:fldChar w:fldCharType="separate"/>
      </w:r>
      <w:r>
        <w:rPr>
          <w:rFonts w:hint="eastAsia" w:ascii="宋体" w:hAnsi="宋体" w:eastAsia="宋体" w:cs="宋体"/>
          <w:b w:val="0"/>
          <w:bCs w:val="0"/>
          <w:color w:val="000000"/>
          <w:kern w:val="2"/>
          <w:sz w:val="24"/>
          <w:szCs w:val="24"/>
          <w:highlight w:val="none"/>
          <w:lang w:val="en-US" w:eastAsia="zh-CN" w:bidi="ar-SA"/>
        </w:rPr>
        <w:t>商丘市公共资源交易平台操作指南2019-12-31版本</w:t>
      </w:r>
      <w:r>
        <w:rPr>
          <w:rFonts w:hint="eastAsia" w:ascii="宋体" w:hAnsi="宋体" w:eastAsia="宋体" w:cs="宋体"/>
          <w:b w:val="0"/>
          <w:bCs w:val="0"/>
          <w:color w:val="000000"/>
          <w:kern w:val="2"/>
          <w:sz w:val="24"/>
          <w:szCs w:val="24"/>
          <w:highlight w:val="none"/>
          <w:lang w:val="en-US" w:eastAsia="zh-CN" w:bidi="ar-SA"/>
        </w:rPr>
        <w:fldChar w:fldCharType="end"/>
      </w:r>
      <w:r>
        <w:rPr>
          <w:rFonts w:hint="eastAsia" w:ascii="宋体" w:hAnsi="宋体" w:eastAsia="宋体" w:cs="宋体"/>
          <w:b w:val="0"/>
          <w:bCs w:val="0"/>
          <w:color w:val="000000"/>
          <w:kern w:val="2"/>
          <w:sz w:val="24"/>
          <w:szCs w:val="24"/>
          <w:highlight w:val="none"/>
          <w:lang w:val="en-US" w:eastAsia="zh-CN" w:bidi="ar-SA"/>
        </w:rPr>
        <w:t>”。</w:t>
      </w:r>
    </w:p>
    <w:p w14:paraId="504BD7FE">
      <w:pPr>
        <w:pStyle w:val="25"/>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 xml:space="preserve">5.4 </w:t>
      </w:r>
      <w:r>
        <w:rPr>
          <w:rFonts w:hint="eastAsia" w:ascii="宋体" w:hAnsi="宋体" w:cs="宋体"/>
          <w:b w:val="0"/>
          <w:bCs w:val="0"/>
          <w:color w:val="000000"/>
          <w:kern w:val="2"/>
          <w:sz w:val="24"/>
          <w:szCs w:val="24"/>
          <w:highlight w:val="none"/>
          <w:lang w:val="en-US" w:eastAsia="zh-CN" w:bidi="ar-SA"/>
        </w:rPr>
        <w:t>投标</w:t>
      </w:r>
      <w:r>
        <w:rPr>
          <w:rFonts w:hint="eastAsia" w:ascii="宋体" w:hAnsi="宋体" w:eastAsia="宋体" w:cs="宋体"/>
          <w:b w:val="0"/>
          <w:bCs w:val="0"/>
          <w:color w:val="000000"/>
          <w:kern w:val="2"/>
          <w:sz w:val="24"/>
          <w:szCs w:val="24"/>
          <w:highlight w:val="none"/>
          <w:lang w:val="en-US" w:eastAsia="zh-CN" w:bidi="ar-SA"/>
        </w:rPr>
        <w:t>文件解密开始和截止时间：2024年</w:t>
      </w:r>
      <w:r>
        <w:rPr>
          <w:rFonts w:hint="eastAsia" w:ascii="宋体" w:hAnsi="宋体" w:cs="宋体"/>
          <w:b w:val="0"/>
          <w:bCs w:val="0"/>
          <w:color w:val="000000"/>
          <w:kern w:val="2"/>
          <w:sz w:val="24"/>
          <w:szCs w:val="24"/>
          <w:highlight w:val="none"/>
          <w:lang w:val="en-US" w:eastAsia="zh-CN" w:bidi="ar-SA"/>
        </w:rPr>
        <w:t>11</w:t>
      </w:r>
      <w:r>
        <w:rPr>
          <w:rFonts w:hint="eastAsia" w:ascii="宋体" w:hAnsi="宋体" w:eastAsia="宋体" w:cs="宋体"/>
          <w:b w:val="0"/>
          <w:bCs w:val="0"/>
          <w:color w:val="000000"/>
          <w:kern w:val="2"/>
          <w:sz w:val="24"/>
          <w:szCs w:val="24"/>
          <w:highlight w:val="none"/>
          <w:lang w:val="en-US" w:eastAsia="zh-CN" w:bidi="ar-SA"/>
        </w:rPr>
        <w:t>月</w:t>
      </w:r>
      <w:r>
        <w:rPr>
          <w:rFonts w:hint="eastAsia" w:ascii="宋体" w:hAnsi="宋体" w:cs="宋体"/>
          <w:b w:val="0"/>
          <w:bCs w:val="0"/>
          <w:color w:val="000000"/>
          <w:kern w:val="2"/>
          <w:sz w:val="24"/>
          <w:szCs w:val="24"/>
          <w:highlight w:val="none"/>
          <w:lang w:val="en-US" w:eastAsia="zh-CN" w:bidi="ar-SA"/>
        </w:rPr>
        <w:t>25</w:t>
      </w:r>
      <w:r>
        <w:rPr>
          <w:rFonts w:hint="eastAsia" w:ascii="宋体" w:hAnsi="宋体" w:eastAsia="宋体" w:cs="宋体"/>
          <w:b w:val="0"/>
          <w:bCs w:val="0"/>
          <w:color w:val="000000"/>
          <w:kern w:val="2"/>
          <w:sz w:val="24"/>
          <w:szCs w:val="24"/>
          <w:highlight w:val="none"/>
          <w:lang w:val="en-US" w:eastAsia="zh-CN" w:bidi="ar-SA"/>
        </w:rPr>
        <w:t>日上午9时00分至2024年</w:t>
      </w:r>
      <w:r>
        <w:rPr>
          <w:rFonts w:hint="eastAsia" w:ascii="宋体" w:hAnsi="宋体" w:cs="宋体"/>
          <w:b w:val="0"/>
          <w:bCs w:val="0"/>
          <w:color w:val="000000"/>
          <w:kern w:val="2"/>
          <w:sz w:val="24"/>
          <w:szCs w:val="24"/>
          <w:highlight w:val="none"/>
          <w:lang w:val="en-US" w:eastAsia="zh-CN" w:bidi="ar-SA"/>
        </w:rPr>
        <w:t>11</w:t>
      </w:r>
      <w:r>
        <w:rPr>
          <w:rFonts w:hint="eastAsia" w:ascii="宋体" w:hAnsi="宋体" w:eastAsia="宋体" w:cs="宋体"/>
          <w:b w:val="0"/>
          <w:bCs w:val="0"/>
          <w:color w:val="000000"/>
          <w:kern w:val="2"/>
          <w:sz w:val="24"/>
          <w:szCs w:val="24"/>
          <w:highlight w:val="none"/>
          <w:lang w:val="en-US" w:eastAsia="zh-CN" w:bidi="ar-SA"/>
        </w:rPr>
        <w:t>月</w:t>
      </w:r>
      <w:r>
        <w:rPr>
          <w:rFonts w:hint="eastAsia" w:ascii="宋体" w:hAnsi="宋体" w:cs="宋体"/>
          <w:b w:val="0"/>
          <w:bCs w:val="0"/>
          <w:color w:val="000000"/>
          <w:kern w:val="2"/>
          <w:sz w:val="24"/>
          <w:szCs w:val="24"/>
          <w:highlight w:val="none"/>
          <w:lang w:val="en-US" w:eastAsia="zh-CN" w:bidi="ar-SA"/>
        </w:rPr>
        <w:t>25</w:t>
      </w:r>
      <w:r>
        <w:rPr>
          <w:rFonts w:hint="eastAsia" w:ascii="宋体" w:hAnsi="宋体" w:eastAsia="宋体" w:cs="宋体"/>
          <w:b w:val="0"/>
          <w:bCs w:val="0"/>
          <w:color w:val="000000"/>
          <w:kern w:val="2"/>
          <w:sz w:val="24"/>
          <w:szCs w:val="24"/>
          <w:highlight w:val="none"/>
          <w:lang w:val="en-US" w:eastAsia="zh-CN" w:bidi="ar-SA"/>
        </w:rPr>
        <w:t>日上午10时30分；响应人在规定时间内无法完成解密的响应文件视为无效。</w:t>
      </w:r>
    </w:p>
    <w:p w14:paraId="4A769FC0">
      <w:pPr>
        <w:pStyle w:val="25"/>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5.5 逾期递交(未完成投标签到的)的响应文件，采购人不予受理。</w:t>
      </w:r>
    </w:p>
    <w:p w14:paraId="0892BEA6">
      <w:pPr>
        <w:pStyle w:val="25"/>
        <w:keepNext w:val="0"/>
        <w:keepLines w:val="0"/>
        <w:widowControl/>
        <w:suppressLineNumbers w:val="0"/>
        <w:spacing w:before="0" w:beforeAutospacing="0" w:after="0" w:afterAutospacing="0" w:line="360" w:lineRule="auto"/>
        <w:ind w:right="0"/>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六</w:t>
      </w:r>
      <w:r>
        <w:rPr>
          <w:rFonts w:hint="eastAsia" w:ascii="宋体" w:hAnsi="宋体" w:eastAsia="宋体" w:cs="宋体"/>
          <w:b/>
          <w:bCs/>
          <w:color w:val="000000"/>
          <w:kern w:val="2"/>
          <w:sz w:val="24"/>
          <w:szCs w:val="24"/>
          <w:highlight w:val="none"/>
          <w:lang w:val="en-US" w:eastAsia="zh-CN" w:bidi="ar-SA"/>
        </w:rPr>
        <w:t>、发布公告的媒介</w:t>
      </w:r>
    </w:p>
    <w:p w14:paraId="13BABBBE">
      <w:pPr>
        <w:pStyle w:val="25"/>
        <w:keepNext w:val="0"/>
        <w:keepLines w:val="0"/>
        <w:widowControl/>
        <w:suppressLineNumbers w:val="0"/>
        <w:spacing w:before="0" w:beforeAutospacing="0" w:after="0" w:afterAutospacing="0" w:line="360" w:lineRule="auto"/>
        <w:ind w:left="0" w:right="0" w:firstLine="384"/>
        <w:jc w:val="lef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本次采购公告在《河南省政府采购网》、《商丘市政府采购网》、《</w:t>
      </w:r>
      <w:r>
        <w:rPr>
          <w:rFonts w:hint="eastAsia" w:ascii="宋体" w:hAnsi="宋体" w:cs="宋体"/>
          <w:b w:val="0"/>
          <w:bCs w:val="0"/>
          <w:color w:val="000000"/>
          <w:kern w:val="2"/>
          <w:sz w:val="24"/>
          <w:szCs w:val="24"/>
          <w:highlight w:val="none"/>
          <w:lang w:val="en-US" w:eastAsia="zh-CN" w:bidi="ar-SA"/>
        </w:rPr>
        <w:t>中国</w:t>
      </w:r>
      <w:r>
        <w:rPr>
          <w:rFonts w:hint="eastAsia" w:ascii="宋体" w:hAnsi="宋体" w:eastAsia="宋体" w:cs="宋体"/>
          <w:b w:val="0"/>
          <w:bCs w:val="0"/>
          <w:color w:val="000000"/>
          <w:kern w:val="2"/>
          <w:sz w:val="24"/>
          <w:szCs w:val="24"/>
          <w:highlight w:val="none"/>
          <w:lang w:val="en-US" w:eastAsia="zh-CN" w:bidi="ar-SA"/>
        </w:rPr>
        <w:t>政府采购网》</w:t>
      </w:r>
      <w:r>
        <w:rPr>
          <w:rFonts w:hint="eastAsia" w:ascii="宋体" w:hAnsi="宋体" w:cs="宋体"/>
          <w:b w:val="0"/>
          <w:bCs w:val="0"/>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《商丘市公共资源交易中心》上发布</w:t>
      </w:r>
      <w:r>
        <w:rPr>
          <w:rFonts w:hint="eastAsia" w:ascii="宋体" w:hAnsi="宋体" w:cs="宋体"/>
          <w:b w:val="0"/>
          <w:bCs w:val="0"/>
          <w:color w:val="000000"/>
          <w:kern w:val="2"/>
          <w:sz w:val="24"/>
          <w:szCs w:val="24"/>
          <w:highlight w:val="none"/>
          <w:lang w:val="en-US" w:eastAsia="zh-CN" w:bidi="ar-SA"/>
        </w:rPr>
        <w:t>，</w:t>
      </w:r>
      <w:r>
        <w:rPr>
          <w:rFonts w:hint="eastAsia" w:ascii="宋体" w:hAnsi="宋体" w:eastAsia="宋体" w:cs="宋体"/>
          <w:color w:val="auto"/>
          <w:kern w:val="0"/>
          <w:sz w:val="24"/>
          <w:highlight w:val="none"/>
        </w:rPr>
        <w:t>其他网站转载不负法律责任</w:t>
      </w:r>
      <w:r>
        <w:rPr>
          <w:rFonts w:hint="eastAsia" w:ascii="宋体" w:hAnsi="宋体" w:eastAsia="宋体" w:cs="宋体"/>
          <w:b w:val="0"/>
          <w:bCs w:val="0"/>
          <w:color w:val="000000"/>
          <w:kern w:val="2"/>
          <w:sz w:val="24"/>
          <w:szCs w:val="24"/>
          <w:highlight w:val="none"/>
          <w:lang w:val="en-US" w:eastAsia="zh-CN" w:bidi="ar-SA"/>
        </w:rPr>
        <w:t>。</w:t>
      </w:r>
    </w:p>
    <w:p w14:paraId="5AB3B0AC">
      <w:pPr>
        <w:pStyle w:val="25"/>
        <w:keepNext w:val="0"/>
        <w:keepLines w:val="0"/>
        <w:widowControl/>
        <w:suppressLineNumbers w:val="0"/>
        <w:spacing w:before="0" w:beforeAutospacing="0" w:after="0" w:afterAutospacing="0" w:line="360" w:lineRule="auto"/>
        <w:ind w:right="0"/>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七</w:t>
      </w:r>
      <w:r>
        <w:rPr>
          <w:rFonts w:hint="eastAsia" w:ascii="宋体" w:hAnsi="宋体" w:eastAsia="宋体" w:cs="宋体"/>
          <w:b/>
          <w:bCs/>
          <w:color w:val="000000"/>
          <w:kern w:val="2"/>
          <w:sz w:val="24"/>
          <w:szCs w:val="24"/>
          <w:highlight w:val="none"/>
          <w:lang w:val="en-US" w:eastAsia="zh-CN" w:bidi="ar-SA"/>
        </w:rPr>
        <w:t xml:space="preserve">、联系方式 </w:t>
      </w:r>
    </w:p>
    <w:p w14:paraId="72A65546">
      <w:pPr>
        <w:pStyle w:val="25"/>
        <w:keepNext w:val="0"/>
        <w:keepLines w:val="0"/>
        <w:widowControl/>
        <w:numPr>
          <w:ilvl w:val="0"/>
          <w:numId w:val="0"/>
        </w:numPr>
        <w:suppressLineNumbers w:val="0"/>
        <w:spacing w:before="0" w:beforeAutospacing="0" w:after="0" w:afterAutospacing="0" w:line="360" w:lineRule="auto"/>
        <w:ind w:right="0" w:rightChars="0" w:firstLine="240" w:firstLineChars="100"/>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采</w:t>
      </w:r>
      <w:r>
        <w:rPr>
          <w:rFonts w:hint="eastAsia" w:ascii="宋体" w:hAnsi="宋体" w:cs="宋体"/>
          <w:b w:val="0"/>
          <w:bCs w:val="0"/>
          <w:color w:val="000000"/>
          <w:kern w:val="2"/>
          <w:sz w:val="24"/>
          <w:szCs w:val="24"/>
          <w:highlight w:val="non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购</w:t>
      </w:r>
      <w:r>
        <w:rPr>
          <w:rFonts w:hint="eastAsia" w:ascii="宋体" w:hAnsi="宋体" w:cs="宋体"/>
          <w:b w:val="0"/>
          <w:bCs w:val="0"/>
          <w:color w:val="000000"/>
          <w:kern w:val="2"/>
          <w:sz w:val="24"/>
          <w:szCs w:val="24"/>
          <w:highlight w:val="non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人：</w:t>
      </w:r>
      <w:r>
        <w:rPr>
          <w:rFonts w:hint="eastAsia" w:ascii="宋体" w:hAnsi="宋体" w:cs="宋体"/>
          <w:b w:val="0"/>
          <w:bCs w:val="0"/>
          <w:color w:val="000000"/>
          <w:kern w:val="2"/>
          <w:sz w:val="24"/>
          <w:szCs w:val="24"/>
          <w:highlight w:val="none"/>
          <w:lang w:val="en-US" w:eastAsia="zh-CN" w:bidi="ar-SA"/>
        </w:rPr>
        <w:t>民权县人民医院</w:t>
      </w:r>
      <w:r>
        <w:rPr>
          <w:rFonts w:hint="eastAsia" w:ascii="宋体" w:hAnsi="宋体" w:cs="宋体"/>
          <w:b w:val="0"/>
          <w:bCs w:val="0"/>
          <w:color w:val="000000"/>
          <w:kern w:val="2"/>
          <w:sz w:val="24"/>
          <w:szCs w:val="24"/>
          <w:highlight w:val="none"/>
          <w:lang w:val="en-US" w:eastAsia="zh-CN" w:bidi="ar-SA"/>
        </w:rPr>
        <w:tab/>
      </w:r>
    </w:p>
    <w:p w14:paraId="522CFA03">
      <w:pPr>
        <w:pStyle w:val="25"/>
        <w:keepNext w:val="0"/>
        <w:keepLines w:val="0"/>
        <w:widowControl/>
        <w:numPr>
          <w:ilvl w:val="0"/>
          <w:numId w:val="0"/>
        </w:numPr>
        <w:suppressLineNumbers w:val="0"/>
        <w:spacing w:before="0" w:beforeAutospacing="0" w:after="0" w:afterAutospacing="0" w:line="360" w:lineRule="auto"/>
        <w:ind w:right="0" w:rightChars="0" w:firstLine="240" w:firstLineChars="1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 xml:space="preserve">地 </w:t>
      </w:r>
      <w:r>
        <w:rPr>
          <w:rFonts w:hint="eastAsia" w:ascii="宋体" w:hAnsi="宋体" w:cs="宋体"/>
          <w:b w:val="0"/>
          <w:bCs w:val="0"/>
          <w:color w:val="000000"/>
          <w:kern w:val="2"/>
          <w:sz w:val="24"/>
          <w:szCs w:val="24"/>
          <w:highlight w:val="non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址：河南省民权县治安路中段</w:t>
      </w:r>
    </w:p>
    <w:p w14:paraId="1B97B173">
      <w:pPr>
        <w:pStyle w:val="25"/>
        <w:keepNext w:val="0"/>
        <w:keepLines w:val="0"/>
        <w:widowControl/>
        <w:numPr>
          <w:ilvl w:val="0"/>
          <w:numId w:val="0"/>
        </w:numPr>
        <w:suppressLineNumbers w:val="0"/>
        <w:spacing w:before="0" w:beforeAutospacing="0" w:after="0" w:afterAutospacing="0" w:line="360" w:lineRule="auto"/>
        <w:ind w:right="0" w:rightChars="0" w:firstLine="240" w:firstLineChars="100"/>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联 系 人：</w:t>
      </w:r>
      <w:r>
        <w:rPr>
          <w:rFonts w:hint="eastAsia" w:ascii="宋体" w:hAnsi="宋体" w:cs="宋体"/>
          <w:b w:val="0"/>
          <w:bCs w:val="0"/>
          <w:color w:val="000000"/>
          <w:kern w:val="2"/>
          <w:sz w:val="24"/>
          <w:szCs w:val="24"/>
          <w:highlight w:val="none"/>
          <w:lang w:val="en-US" w:eastAsia="zh-CN" w:bidi="ar-SA"/>
        </w:rPr>
        <w:t>邓先生</w:t>
      </w:r>
    </w:p>
    <w:p w14:paraId="0E5E1DA3">
      <w:pPr>
        <w:pStyle w:val="25"/>
        <w:keepNext w:val="0"/>
        <w:keepLines w:val="0"/>
        <w:widowControl/>
        <w:numPr>
          <w:ilvl w:val="0"/>
          <w:numId w:val="0"/>
        </w:numPr>
        <w:suppressLineNumbers w:val="0"/>
        <w:spacing w:before="0" w:beforeAutospacing="0" w:after="0" w:afterAutospacing="0" w:line="360" w:lineRule="auto"/>
        <w:ind w:right="0" w:rightChars="0" w:firstLine="240" w:firstLineChars="100"/>
        <w:rPr>
          <w:rFonts w:hint="default"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 xml:space="preserve">电 </w:t>
      </w:r>
      <w:r>
        <w:rPr>
          <w:rFonts w:hint="eastAsia" w:ascii="宋体" w:hAnsi="宋体" w:cs="宋体"/>
          <w:b w:val="0"/>
          <w:bCs w:val="0"/>
          <w:color w:val="000000"/>
          <w:kern w:val="2"/>
          <w:sz w:val="24"/>
          <w:szCs w:val="24"/>
          <w:highlight w:val="non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话：</w:t>
      </w:r>
      <w:r>
        <w:rPr>
          <w:rFonts w:hint="eastAsia" w:ascii="宋体" w:hAnsi="宋体" w:cs="宋体"/>
          <w:b w:val="0"/>
          <w:bCs w:val="0"/>
          <w:color w:val="000000"/>
          <w:kern w:val="2"/>
          <w:sz w:val="24"/>
          <w:szCs w:val="24"/>
          <w:highlight w:val="none"/>
          <w:lang w:val="en-US" w:eastAsia="zh-CN" w:bidi="ar-SA"/>
        </w:rPr>
        <w:t>0370-8522046</w:t>
      </w:r>
    </w:p>
    <w:p w14:paraId="1921164F">
      <w:pPr>
        <w:pStyle w:val="25"/>
        <w:keepNext w:val="0"/>
        <w:keepLines w:val="0"/>
        <w:widowControl/>
        <w:numPr>
          <w:ilvl w:val="0"/>
          <w:numId w:val="0"/>
        </w:numPr>
        <w:suppressLineNumbers w:val="0"/>
        <w:spacing w:before="0" w:beforeAutospacing="0" w:after="0" w:afterAutospacing="0" w:line="360" w:lineRule="auto"/>
        <w:ind w:right="0" w:rightChars="0" w:firstLine="240" w:firstLineChars="100"/>
        <w:rPr>
          <w:rFonts w:hint="eastAsia" w:ascii="宋体" w:hAnsi="宋体" w:cs="宋体"/>
          <w:b w:val="0"/>
          <w:bCs w:val="0"/>
          <w:color w:val="000000"/>
          <w:kern w:val="2"/>
          <w:sz w:val="24"/>
          <w:szCs w:val="24"/>
          <w:highlight w:val="none"/>
          <w:lang w:val="en-US" w:eastAsia="zh-CN" w:bidi="ar-SA"/>
        </w:rPr>
      </w:pPr>
    </w:p>
    <w:p w14:paraId="0F93F6D5">
      <w:pPr>
        <w:pStyle w:val="25"/>
        <w:keepNext w:val="0"/>
        <w:keepLines w:val="0"/>
        <w:widowControl/>
        <w:numPr>
          <w:ilvl w:val="0"/>
          <w:numId w:val="0"/>
        </w:numPr>
        <w:suppressLineNumbers w:val="0"/>
        <w:spacing w:before="0" w:beforeAutospacing="0" w:after="0" w:afterAutospacing="0" w:line="360" w:lineRule="auto"/>
        <w:ind w:right="0" w:rightChars="0" w:firstLine="240" w:firstLineChars="100"/>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代理机构：河南联达工程管理有限公司</w:t>
      </w:r>
    </w:p>
    <w:p w14:paraId="1E58CDFB">
      <w:pPr>
        <w:pStyle w:val="25"/>
        <w:keepNext w:val="0"/>
        <w:keepLines w:val="0"/>
        <w:widowControl/>
        <w:numPr>
          <w:ilvl w:val="0"/>
          <w:numId w:val="0"/>
        </w:numPr>
        <w:suppressLineNumbers w:val="0"/>
        <w:spacing w:before="0" w:beforeAutospacing="0" w:after="0" w:afterAutospacing="0" w:line="360" w:lineRule="auto"/>
        <w:ind w:right="0" w:rightChars="0" w:firstLine="240" w:firstLineChars="100"/>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地    址：郑州市二七区淮河路绿云小康住宅2号楼1606号</w:t>
      </w:r>
    </w:p>
    <w:p w14:paraId="510BED21">
      <w:pPr>
        <w:pStyle w:val="25"/>
        <w:keepNext w:val="0"/>
        <w:keepLines w:val="0"/>
        <w:widowControl/>
        <w:numPr>
          <w:ilvl w:val="0"/>
          <w:numId w:val="0"/>
        </w:numPr>
        <w:suppressLineNumbers w:val="0"/>
        <w:spacing w:before="0" w:beforeAutospacing="0" w:after="0" w:afterAutospacing="0" w:line="360" w:lineRule="auto"/>
        <w:ind w:right="0" w:rightChars="0" w:firstLine="240" w:firstLineChars="100"/>
        <w:rPr>
          <w:rFonts w:hint="eastAsia"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联 系 人：张先生</w:t>
      </w:r>
    </w:p>
    <w:p w14:paraId="5982562C">
      <w:pPr>
        <w:pStyle w:val="25"/>
        <w:keepNext w:val="0"/>
        <w:keepLines w:val="0"/>
        <w:widowControl/>
        <w:numPr>
          <w:ilvl w:val="0"/>
          <w:numId w:val="0"/>
        </w:numPr>
        <w:suppressLineNumbers w:val="0"/>
        <w:spacing w:before="0" w:beforeAutospacing="0" w:after="0" w:afterAutospacing="0" w:line="360" w:lineRule="auto"/>
        <w:ind w:right="0" w:rightChars="0" w:firstLine="240" w:firstLineChars="100"/>
        <w:rPr>
          <w:rFonts w:hint="default" w:ascii="宋体" w:hAnsi="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联系方式：0371-68893199</w:t>
      </w:r>
    </w:p>
    <w:p w14:paraId="0C0CD5A6">
      <w:pPr>
        <w:pStyle w:val="25"/>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cs="宋体"/>
          <w:b w:val="0"/>
          <w:bCs w:val="0"/>
          <w:color w:val="000000"/>
          <w:kern w:val="2"/>
          <w:sz w:val="24"/>
          <w:szCs w:val="24"/>
          <w:highlight w:val="none"/>
          <w:lang w:val="en-US" w:eastAsia="zh-CN" w:bidi="ar-SA"/>
        </w:rPr>
      </w:pPr>
    </w:p>
    <w:p w14:paraId="79FD5F17">
      <w:pPr>
        <w:pStyle w:val="25"/>
        <w:keepNext w:val="0"/>
        <w:keepLines w:val="0"/>
        <w:widowControl/>
        <w:numPr>
          <w:ilvl w:val="0"/>
          <w:numId w:val="0"/>
        </w:numPr>
        <w:suppressLineNumbers w:val="0"/>
        <w:spacing w:before="0" w:beforeAutospacing="0" w:after="0" w:afterAutospacing="0" w:line="360" w:lineRule="auto"/>
        <w:ind w:right="0" w:rightChars="0"/>
        <w:jc w:val="right"/>
        <w:rPr>
          <w:rFonts w:hint="eastAsia" w:ascii="宋体" w:hAnsi="宋体" w:cs="宋体"/>
          <w:b w:val="0"/>
          <w:bCs w:val="0"/>
          <w:color w:val="000000"/>
          <w:kern w:val="2"/>
          <w:sz w:val="24"/>
          <w:szCs w:val="24"/>
          <w:highlight w:val="none"/>
          <w:lang w:val="en-US" w:eastAsia="zh-CN" w:bidi="ar-SA"/>
        </w:rPr>
      </w:pPr>
    </w:p>
    <w:p w14:paraId="590543BB">
      <w:pPr>
        <w:pStyle w:val="25"/>
        <w:keepNext w:val="0"/>
        <w:keepLines w:val="0"/>
        <w:widowControl/>
        <w:numPr>
          <w:ilvl w:val="0"/>
          <w:numId w:val="0"/>
        </w:numPr>
        <w:suppressLineNumbers w:val="0"/>
        <w:spacing w:before="0" w:beforeAutospacing="0" w:after="0" w:afterAutospacing="0" w:line="360" w:lineRule="auto"/>
        <w:ind w:right="0" w:rightChars="0"/>
        <w:jc w:val="right"/>
        <w:rPr>
          <w:rFonts w:hint="eastAsia" w:ascii="宋体" w:hAnsi="宋体" w:cs="宋体"/>
          <w:b w:val="0"/>
          <w:bCs w:val="0"/>
          <w:color w:val="000000"/>
          <w:kern w:val="2"/>
          <w:sz w:val="24"/>
          <w:szCs w:val="24"/>
          <w:highlight w:val="none"/>
          <w:lang w:val="en-US" w:eastAsia="zh-CN" w:bidi="ar-SA"/>
        </w:rPr>
      </w:pPr>
    </w:p>
    <w:p w14:paraId="6EB0DA9C">
      <w:pPr>
        <w:pStyle w:val="25"/>
        <w:keepNext w:val="0"/>
        <w:keepLines w:val="0"/>
        <w:widowControl/>
        <w:numPr>
          <w:ilvl w:val="0"/>
          <w:numId w:val="0"/>
        </w:numPr>
        <w:suppressLineNumbers w:val="0"/>
        <w:spacing w:before="0" w:beforeAutospacing="0" w:after="0" w:afterAutospacing="0" w:line="360" w:lineRule="auto"/>
        <w:ind w:right="0" w:rightChars="0"/>
        <w:jc w:val="right"/>
        <w:rPr>
          <w:rFonts w:hint="eastAsia" w:ascii="宋体" w:hAnsi="宋体" w:cs="宋体"/>
          <w:b w:val="0"/>
          <w:bCs w:val="0"/>
          <w:color w:val="000000"/>
          <w:kern w:val="2"/>
          <w:sz w:val="24"/>
          <w:szCs w:val="24"/>
          <w:highlight w:val="none"/>
          <w:lang w:val="en-US" w:eastAsia="zh-CN" w:bidi="ar-SA"/>
        </w:rPr>
      </w:pPr>
    </w:p>
    <w:p w14:paraId="448EDC28">
      <w:pPr>
        <w:pStyle w:val="25"/>
        <w:keepNext w:val="0"/>
        <w:keepLines w:val="0"/>
        <w:widowControl/>
        <w:numPr>
          <w:ilvl w:val="0"/>
          <w:numId w:val="0"/>
        </w:numPr>
        <w:suppressLineNumbers w:val="0"/>
        <w:spacing w:before="0" w:beforeAutospacing="0" w:after="0" w:afterAutospacing="0" w:line="360" w:lineRule="auto"/>
        <w:ind w:right="0" w:rightChars="0"/>
        <w:jc w:val="right"/>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发布人：</w:t>
      </w:r>
      <w:r>
        <w:rPr>
          <w:rFonts w:hint="eastAsia" w:ascii="宋体" w:hAnsi="宋体" w:cs="宋体"/>
          <w:b w:val="0"/>
          <w:bCs w:val="0"/>
          <w:color w:val="000000"/>
          <w:kern w:val="2"/>
          <w:sz w:val="24"/>
          <w:szCs w:val="24"/>
          <w:highlight w:val="none"/>
          <w:lang w:val="en-US" w:eastAsia="zh-CN" w:bidi="ar-SA"/>
        </w:rPr>
        <w:t>河南联达工程管理有限公司</w:t>
      </w:r>
    </w:p>
    <w:p w14:paraId="45C9C143">
      <w:pPr>
        <w:spacing w:line="360" w:lineRule="auto"/>
        <w:jc w:val="right"/>
        <w:rPr>
          <w:rFonts w:hint="eastAsia" w:ascii="宋体" w:hAnsi="宋体" w:eastAsia="宋体" w:cs="宋体"/>
          <w:b w:val="0"/>
          <w:bCs w:val="0"/>
          <w:color w:val="000000"/>
          <w:kern w:val="2"/>
          <w:sz w:val="24"/>
          <w:szCs w:val="24"/>
          <w:highlight w:val="none"/>
          <w:lang w:val="en-US" w:eastAsia="zh-CN" w:bidi="ar-SA"/>
        </w:rPr>
      </w:pPr>
    </w:p>
    <w:p w14:paraId="35CA7E09">
      <w:pPr>
        <w:spacing w:line="360" w:lineRule="auto"/>
        <w:ind w:firstLine="6720" w:firstLineChars="2800"/>
        <w:jc w:val="both"/>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日期：202</w:t>
      </w:r>
      <w:r>
        <w:rPr>
          <w:rFonts w:hint="eastAsia" w:ascii="宋体" w:hAnsi="宋体" w:cs="宋体"/>
          <w:b w:val="0"/>
          <w:bCs w:val="0"/>
          <w:color w:val="000000"/>
          <w:kern w:val="2"/>
          <w:sz w:val="24"/>
          <w:szCs w:val="24"/>
          <w:highlight w:val="none"/>
          <w:lang w:val="en-US" w:eastAsia="zh-CN" w:bidi="ar-SA"/>
        </w:rPr>
        <w:t>4</w:t>
      </w:r>
      <w:r>
        <w:rPr>
          <w:rFonts w:hint="eastAsia" w:ascii="宋体" w:hAnsi="宋体" w:eastAsia="宋体" w:cs="宋体"/>
          <w:b w:val="0"/>
          <w:bCs w:val="0"/>
          <w:color w:val="000000"/>
          <w:kern w:val="2"/>
          <w:sz w:val="24"/>
          <w:szCs w:val="24"/>
          <w:highlight w:val="none"/>
          <w:lang w:val="en-US" w:eastAsia="zh-CN" w:bidi="ar-SA"/>
        </w:rPr>
        <w:t>年</w:t>
      </w:r>
      <w:r>
        <w:rPr>
          <w:rFonts w:hint="eastAsia" w:ascii="宋体" w:hAnsi="宋体" w:cs="宋体"/>
          <w:b w:val="0"/>
          <w:bCs w:val="0"/>
          <w:color w:val="000000"/>
          <w:kern w:val="2"/>
          <w:sz w:val="24"/>
          <w:szCs w:val="24"/>
          <w:highlight w:val="none"/>
          <w:lang w:val="en-US" w:eastAsia="zh-CN" w:bidi="ar-SA"/>
        </w:rPr>
        <w:t>11</w:t>
      </w:r>
      <w:r>
        <w:rPr>
          <w:rFonts w:hint="eastAsia" w:ascii="宋体" w:hAnsi="宋体" w:eastAsia="宋体" w:cs="宋体"/>
          <w:b w:val="0"/>
          <w:bCs w:val="0"/>
          <w:color w:val="000000"/>
          <w:kern w:val="2"/>
          <w:sz w:val="24"/>
          <w:szCs w:val="24"/>
          <w:highlight w:val="none"/>
          <w:lang w:val="en-US" w:eastAsia="zh-CN" w:bidi="ar-SA"/>
        </w:rPr>
        <w:t>月</w:t>
      </w:r>
      <w:r>
        <w:rPr>
          <w:rFonts w:hint="eastAsia" w:ascii="宋体" w:hAnsi="宋体" w:cs="宋体"/>
          <w:b w:val="0"/>
          <w:bCs w:val="0"/>
          <w:color w:val="000000"/>
          <w:kern w:val="2"/>
          <w:sz w:val="24"/>
          <w:szCs w:val="24"/>
          <w:highlight w:val="none"/>
          <w:lang w:val="en-US" w:eastAsia="zh-CN" w:bidi="ar-SA"/>
        </w:rPr>
        <w:t>7</w:t>
      </w:r>
      <w:r>
        <w:rPr>
          <w:rFonts w:hint="eastAsia" w:ascii="宋体" w:hAnsi="宋体" w:eastAsia="宋体" w:cs="宋体"/>
          <w:b w:val="0"/>
          <w:bCs w:val="0"/>
          <w:color w:val="000000"/>
          <w:kern w:val="2"/>
          <w:sz w:val="24"/>
          <w:szCs w:val="24"/>
          <w:highlight w:val="none"/>
          <w:lang w:val="en-US" w:eastAsia="zh-CN" w:bidi="ar-SA"/>
        </w:rPr>
        <w:t>日</w:t>
      </w:r>
    </w:p>
    <w:p w14:paraId="2F6C254C">
      <w:pPr>
        <w:jc w:val="center"/>
        <w:rPr>
          <w:rFonts w:hint="eastAsia"/>
          <w:b/>
          <w:bCs/>
          <w:sz w:val="28"/>
          <w:szCs w:val="36"/>
          <w:highlight w:val="none"/>
        </w:rPr>
      </w:pPr>
      <w:r>
        <w:rPr>
          <w:rFonts w:hint="eastAsia"/>
          <w:b/>
          <w:bCs/>
          <w:sz w:val="28"/>
          <w:szCs w:val="36"/>
          <w:highlight w:val="none"/>
        </w:rPr>
        <w:br w:type="page"/>
      </w:r>
      <w:r>
        <w:rPr>
          <w:rFonts w:hint="eastAsia"/>
          <w:b/>
          <w:bCs/>
          <w:sz w:val="28"/>
          <w:szCs w:val="36"/>
          <w:highlight w:val="none"/>
        </w:rPr>
        <w:t xml:space="preserve">第二章 </w:t>
      </w:r>
      <w:r>
        <w:rPr>
          <w:rFonts w:hint="eastAsia"/>
          <w:b/>
          <w:bCs/>
          <w:sz w:val="28"/>
          <w:szCs w:val="36"/>
          <w:highlight w:val="none"/>
          <w:lang w:val="en-US" w:eastAsia="zh-CN"/>
        </w:rPr>
        <w:t>供应商</w:t>
      </w:r>
      <w:r>
        <w:rPr>
          <w:rFonts w:hint="eastAsia"/>
          <w:b/>
          <w:bCs/>
          <w:sz w:val="28"/>
          <w:szCs w:val="36"/>
          <w:highlight w:val="none"/>
        </w:rPr>
        <w:t>须知</w:t>
      </w:r>
      <w:bookmarkEnd w:id="2"/>
    </w:p>
    <w:p w14:paraId="4746183B">
      <w:pPr>
        <w:bidi w:val="0"/>
        <w:jc w:val="center"/>
        <w:rPr>
          <w:b/>
          <w:bCs/>
          <w:sz w:val="28"/>
          <w:szCs w:val="36"/>
          <w:highlight w:val="none"/>
        </w:rPr>
      </w:pPr>
      <w:bookmarkStart w:id="3" w:name="_Toc20415"/>
      <w:r>
        <w:rPr>
          <w:rFonts w:hint="eastAsia"/>
          <w:b/>
          <w:bCs/>
          <w:sz w:val="28"/>
          <w:szCs w:val="36"/>
          <w:highlight w:val="none"/>
          <w:lang w:val="en-US" w:eastAsia="zh-CN"/>
        </w:rPr>
        <w:t>供应商</w:t>
      </w:r>
      <w:r>
        <w:rPr>
          <w:rFonts w:hint="eastAsia"/>
          <w:b/>
          <w:bCs/>
          <w:sz w:val="28"/>
          <w:szCs w:val="36"/>
          <w:highlight w:val="none"/>
        </w:rPr>
        <w:t>须知前附表</w:t>
      </w:r>
      <w:bookmarkEnd w:id="3"/>
    </w:p>
    <w:tbl>
      <w:tblPr>
        <w:tblStyle w:val="28"/>
        <w:tblW w:w="10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838"/>
        <w:gridCol w:w="1419"/>
        <w:gridCol w:w="7261"/>
      </w:tblGrid>
      <w:tr w14:paraId="33DD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63" w:type="dxa"/>
            <w:noWrap w:val="0"/>
            <w:vAlign w:val="center"/>
          </w:tcPr>
          <w:p w14:paraId="18980378">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条款号</w:t>
            </w:r>
          </w:p>
        </w:tc>
        <w:tc>
          <w:tcPr>
            <w:tcW w:w="2257" w:type="dxa"/>
            <w:gridSpan w:val="2"/>
            <w:noWrap w:val="0"/>
            <w:vAlign w:val="center"/>
          </w:tcPr>
          <w:p w14:paraId="290DDA1C">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条 款 名 称</w:t>
            </w:r>
          </w:p>
        </w:tc>
        <w:tc>
          <w:tcPr>
            <w:tcW w:w="7261" w:type="dxa"/>
            <w:noWrap w:val="0"/>
            <w:vAlign w:val="center"/>
          </w:tcPr>
          <w:p w14:paraId="5C96ACB3">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 列 内 容</w:t>
            </w:r>
          </w:p>
        </w:tc>
      </w:tr>
      <w:tr w14:paraId="301A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963" w:type="dxa"/>
            <w:noWrap w:val="0"/>
            <w:vAlign w:val="center"/>
          </w:tcPr>
          <w:p w14:paraId="55D0B8DC">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.1.2</w:t>
            </w:r>
          </w:p>
        </w:tc>
        <w:tc>
          <w:tcPr>
            <w:tcW w:w="2257" w:type="dxa"/>
            <w:gridSpan w:val="2"/>
            <w:noWrap w:val="0"/>
            <w:vAlign w:val="center"/>
          </w:tcPr>
          <w:p w14:paraId="5ABFF4F6">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w:t>
            </w:r>
          </w:p>
        </w:tc>
        <w:tc>
          <w:tcPr>
            <w:tcW w:w="7261" w:type="dxa"/>
            <w:noWrap w:val="0"/>
            <w:vAlign w:val="center"/>
          </w:tcPr>
          <w:p w14:paraId="0D1E0B9E">
            <w:pPr>
              <w:pStyle w:val="25"/>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eastAsia="宋体" w:cs="宋体"/>
                <w:b w:val="0"/>
                <w:bCs w:val="0"/>
                <w:color w:val="333333"/>
                <w:kern w:val="0"/>
                <w:sz w:val="24"/>
                <w:szCs w:val="24"/>
                <w:highlight w:val="none"/>
                <w:shd w:val="clear" w:color="auto" w:fill="FFFFFF"/>
                <w:lang w:val="en-US" w:eastAsia="zh-CN" w:bidi="ar"/>
              </w:rPr>
            </w:pPr>
            <w:r>
              <w:rPr>
                <w:rFonts w:hint="eastAsia" w:ascii="宋体" w:hAnsi="宋体" w:eastAsia="宋体" w:cs="宋体"/>
                <w:b w:val="0"/>
                <w:bCs w:val="0"/>
                <w:color w:val="333333"/>
                <w:kern w:val="0"/>
                <w:sz w:val="24"/>
                <w:szCs w:val="24"/>
                <w:highlight w:val="none"/>
                <w:shd w:val="clear" w:color="auto" w:fill="FFFFFF"/>
                <w:lang w:val="en-US" w:eastAsia="zh-CN" w:bidi="ar"/>
              </w:rPr>
              <w:t>采 购 人：</w:t>
            </w:r>
            <w:r>
              <w:rPr>
                <w:rFonts w:hint="eastAsia" w:ascii="宋体" w:hAnsi="宋体" w:cs="宋体"/>
                <w:b w:val="0"/>
                <w:bCs w:val="0"/>
                <w:color w:val="333333"/>
                <w:kern w:val="0"/>
                <w:sz w:val="24"/>
                <w:szCs w:val="24"/>
                <w:highlight w:val="none"/>
                <w:shd w:val="clear" w:color="auto" w:fill="FFFFFF"/>
                <w:lang w:val="en-US" w:eastAsia="zh-CN" w:bidi="ar"/>
              </w:rPr>
              <w:t>民权县人民医院</w:t>
            </w:r>
            <w:r>
              <w:rPr>
                <w:rFonts w:hint="eastAsia" w:ascii="宋体" w:hAnsi="宋体" w:cs="宋体"/>
                <w:b w:val="0"/>
                <w:bCs w:val="0"/>
                <w:color w:val="333333"/>
                <w:kern w:val="0"/>
                <w:sz w:val="24"/>
                <w:szCs w:val="24"/>
                <w:highlight w:val="none"/>
                <w:shd w:val="clear" w:color="auto" w:fill="FFFFFF"/>
                <w:lang w:val="en-US" w:eastAsia="zh-CN" w:bidi="ar"/>
              </w:rPr>
              <w:tab/>
            </w:r>
          </w:p>
          <w:p w14:paraId="32D68484">
            <w:pPr>
              <w:pStyle w:val="25"/>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eastAsia="宋体" w:cs="宋体"/>
                <w:b w:val="0"/>
                <w:bCs w:val="0"/>
                <w:color w:val="333333"/>
                <w:kern w:val="0"/>
                <w:sz w:val="24"/>
                <w:szCs w:val="24"/>
                <w:highlight w:val="none"/>
                <w:shd w:val="clear" w:color="auto" w:fill="FFFFFF"/>
                <w:lang w:val="en-US" w:eastAsia="zh-CN" w:bidi="ar"/>
              </w:rPr>
            </w:pPr>
            <w:r>
              <w:rPr>
                <w:rFonts w:hint="eastAsia" w:ascii="宋体" w:hAnsi="宋体" w:eastAsia="宋体" w:cs="宋体"/>
                <w:b w:val="0"/>
                <w:bCs w:val="0"/>
                <w:color w:val="333333"/>
                <w:kern w:val="0"/>
                <w:sz w:val="24"/>
                <w:szCs w:val="24"/>
                <w:highlight w:val="none"/>
                <w:shd w:val="clear" w:color="auto" w:fill="FFFFFF"/>
                <w:lang w:val="en-US" w:eastAsia="zh-CN" w:bidi="ar"/>
              </w:rPr>
              <w:t>地    址：河南省民权县治安路中段</w:t>
            </w:r>
          </w:p>
          <w:p w14:paraId="12F208BE">
            <w:pPr>
              <w:pStyle w:val="25"/>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eastAsia="宋体" w:cs="宋体"/>
                <w:b w:val="0"/>
                <w:bCs w:val="0"/>
                <w:color w:val="333333"/>
                <w:kern w:val="0"/>
                <w:sz w:val="24"/>
                <w:szCs w:val="24"/>
                <w:highlight w:val="none"/>
                <w:shd w:val="clear" w:color="auto" w:fill="FFFFFF"/>
                <w:lang w:val="en-US" w:eastAsia="zh-CN" w:bidi="ar"/>
              </w:rPr>
            </w:pPr>
            <w:r>
              <w:rPr>
                <w:rFonts w:hint="eastAsia" w:ascii="宋体" w:hAnsi="宋体" w:eastAsia="宋体" w:cs="宋体"/>
                <w:b w:val="0"/>
                <w:bCs w:val="0"/>
                <w:color w:val="333333"/>
                <w:kern w:val="0"/>
                <w:sz w:val="24"/>
                <w:szCs w:val="24"/>
                <w:highlight w:val="none"/>
                <w:shd w:val="clear" w:color="auto" w:fill="FFFFFF"/>
                <w:lang w:val="en-US" w:eastAsia="zh-CN" w:bidi="ar"/>
              </w:rPr>
              <w:t>联 系 人：邓先生</w:t>
            </w:r>
          </w:p>
          <w:p w14:paraId="3686AC64">
            <w:pPr>
              <w:pStyle w:val="25"/>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eastAsia="宋体" w:cs="宋体"/>
                <w:b w:val="0"/>
                <w:bCs w:val="0"/>
                <w:color w:val="333333"/>
                <w:kern w:val="0"/>
                <w:sz w:val="24"/>
                <w:szCs w:val="24"/>
                <w:highlight w:val="none"/>
                <w:shd w:val="clear" w:color="auto" w:fill="FFFFFF"/>
                <w:lang w:val="en-US" w:eastAsia="zh-CN" w:bidi="ar"/>
              </w:rPr>
            </w:pPr>
            <w:r>
              <w:rPr>
                <w:rFonts w:hint="eastAsia" w:ascii="宋体" w:hAnsi="宋体" w:eastAsia="宋体" w:cs="宋体"/>
                <w:b w:val="0"/>
                <w:bCs w:val="0"/>
                <w:color w:val="333333"/>
                <w:kern w:val="0"/>
                <w:sz w:val="24"/>
                <w:szCs w:val="24"/>
                <w:highlight w:val="none"/>
                <w:shd w:val="clear" w:color="auto" w:fill="FFFFFF"/>
                <w:lang w:val="en-US" w:eastAsia="zh-CN" w:bidi="ar"/>
              </w:rPr>
              <w:t>电    话：</w:t>
            </w:r>
            <w:r>
              <w:rPr>
                <w:rFonts w:hint="eastAsia" w:ascii="宋体" w:hAnsi="宋体" w:cs="宋体"/>
                <w:b w:val="0"/>
                <w:bCs w:val="0"/>
                <w:color w:val="000000"/>
                <w:kern w:val="2"/>
                <w:sz w:val="24"/>
                <w:szCs w:val="24"/>
                <w:highlight w:val="none"/>
                <w:lang w:val="en-US" w:eastAsia="zh-CN" w:bidi="ar-SA"/>
              </w:rPr>
              <w:t>0370-8522046</w:t>
            </w:r>
          </w:p>
        </w:tc>
      </w:tr>
      <w:tr w14:paraId="06CA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963" w:type="dxa"/>
            <w:noWrap w:val="0"/>
            <w:vAlign w:val="center"/>
          </w:tcPr>
          <w:p w14:paraId="17C57D3D">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1.1.3</w:t>
            </w:r>
          </w:p>
        </w:tc>
        <w:tc>
          <w:tcPr>
            <w:tcW w:w="2257" w:type="dxa"/>
            <w:gridSpan w:val="2"/>
            <w:noWrap w:val="0"/>
            <w:vAlign w:val="center"/>
          </w:tcPr>
          <w:p w14:paraId="457AD38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代理机构</w:t>
            </w:r>
          </w:p>
        </w:tc>
        <w:tc>
          <w:tcPr>
            <w:tcW w:w="7261" w:type="dxa"/>
            <w:noWrap w:val="0"/>
            <w:vAlign w:val="center"/>
          </w:tcPr>
          <w:p w14:paraId="579E8FB8">
            <w:pPr>
              <w:pStyle w:val="25"/>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代理机构：河南联达工程管理有限公司</w:t>
            </w:r>
          </w:p>
          <w:p w14:paraId="495F25C7">
            <w:pPr>
              <w:pStyle w:val="25"/>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地    址：郑州市二七区淮河路绿云小康住宅2号楼1606号</w:t>
            </w:r>
          </w:p>
          <w:p w14:paraId="27754935">
            <w:pPr>
              <w:pStyle w:val="25"/>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联 系 人：张先生</w:t>
            </w:r>
          </w:p>
          <w:p w14:paraId="0636DEC3">
            <w:pPr>
              <w:pStyle w:val="25"/>
              <w:keepNext w:val="0"/>
              <w:keepLines w:val="0"/>
              <w:widowControl/>
              <w:numPr>
                <w:ilvl w:val="0"/>
                <w:numId w:val="0"/>
              </w:numPr>
              <w:suppressLineNumbers w:val="0"/>
              <w:spacing w:before="0" w:beforeAutospacing="0" w:after="0" w:afterAutospacing="0" w:line="360" w:lineRule="auto"/>
              <w:ind w:right="0" w:right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联系方式：</w:t>
            </w:r>
            <w:r>
              <w:rPr>
                <w:rFonts w:hint="eastAsia" w:ascii="宋体" w:hAnsi="宋体" w:cs="宋体"/>
                <w:b w:val="0"/>
                <w:bCs w:val="0"/>
                <w:color w:val="000000"/>
                <w:kern w:val="2"/>
                <w:sz w:val="24"/>
                <w:szCs w:val="24"/>
                <w:highlight w:val="none"/>
                <w:lang w:val="en-US" w:eastAsia="zh-CN" w:bidi="ar-SA"/>
              </w:rPr>
              <w:t>0371-68893199</w:t>
            </w:r>
          </w:p>
        </w:tc>
      </w:tr>
      <w:tr w14:paraId="3098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63" w:type="dxa"/>
            <w:noWrap w:val="0"/>
            <w:vAlign w:val="center"/>
          </w:tcPr>
          <w:p w14:paraId="113E126D">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1.1.4</w:t>
            </w:r>
          </w:p>
        </w:tc>
        <w:tc>
          <w:tcPr>
            <w:tcW w:w="2257" w:type="dxa"/>
            <w:gridSpan w:val="2"/>
            <w:noWrap w:val="0"/>
            <w:vAlign w:val="center"/>
          </w:tcPr>
          <w:p w14:paraId="35D0931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7261" w:type="dxa"/>
            <w:noWrap w:val="0"/>
            <w:vAlign w:val="center"/>
          </w:tcPr>
          <w:p w14:paraId="044ECFB4">
            <w:pPr>
              <w:pStyle w:val="25"/>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sz w:val="24"/>
                <w:szCs w:val="24"/>
                <w:highlight w:val="none"/>
              </w:rPr>
            </w:pPr>
            <w:r>
              <w:rPr>
                <w:rFonts w:hint="eastAsia" w:ascii="宋体" w:hAnsi="宋体" w:cs="宋体"/>
                <w:b w:val="0"/>
                <w:bCs w:val="0"/>
                <w:color w:val="000000"/>
                <w:kern w:val="2"/>
                <w:sz w:val="24"/>
                <w:szCs w:val="24"/>
                <w:highlight w:val="none"/>
                <w:lang w:val="en-US" w:eastAsia="zh-CN" w:bidi="ar-SA"/>
              </w:rPr>
              <w:t>民权县人民医院新院区综合能力提升医疗设备采购项目</w:t>
            </w:r>
            <w:r>
              <w:rPr>
                <w:rFonts w:hint="eastAsia" w:ascii="宋体" w:hAnsi="宋体" w:cs="宋体"/>
                <w:b w:val="0"/>
                <w:bCs w:val="0"/>
                <w:color w:val="000000"/>
                <w:kern w:val="2"/>
                <w:sz w:val="24"/>
                <w:szCs w:val="24"/>
                <w:highlight w:val="none"/>
                <w:lang w:val="en-US" w:eastAsia="zh-CN" w:bidi="ar-SA"/>
              </w:rPr>
              <w:tab/>
            </w:r>
          </w:p>
        </w:tc>
      </w:tr>
      <w:tr w14:paraId="15D1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63" w:type="dxa"/>
            <w:noWrap w:val="0"/>
            <w:vAlign w:val="center"/>
          </w:tcPr>
          <w:p w14:paraId="4B38D426">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1.1.5</w:t>
            </w:r>
          </w:p>
        </w:tc>
        <w:tc>
          <w:tcPr>
            <w:tcW w:w="2257" w:type="dxa"/>
            <w:gridSpan w:val="2"/>
            <w:noWrap w:val="0"/>
            <w:vAlign w:val="center"/>
          </w:tcPr>
          <w:p w14:paraId="062351BF">
            <w:pPr>
              <w:spacing w:line="360" w:lineRule="auto"/>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供货地点</w:t>
            </w:r>
          </w:p>
        </w:tc>
        <w:tc>
          <w:tcPr>
            <w:tcW w:w="7261" w:type="dxa"/>
            <w:noWrap w:val="0"/>
            <w:vAlign w:val="center"/>
          </w:tcPr>
          <w:p w14:paraId="042AE15D">
            <w:pPr>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bidi="ar-SA"/>
              </w:rPr>
              <w:t>采购人指定地点</w:t>
            </w:r>
          </w:p>
        </w:tc>
      </w:tr>
      <w:tr w14:paraId="1F06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63" w:type="dxa"/>
            <w:noWrap w:val="0"/>
            <w:vAlign w:val="center"/>
          </w:tcPr>
          <w:p w14:paraId="488F2BC1">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1.2.1</w:t>
            </w:r>
          </w:p>
        </w:tc>
        <w:tc>
          <w:tcPr>
            <w:tcW w:w="2257" w:type="dxa"/>
            <w:gridSpan w:val="2"/>
            <w:noWrap w:val="0"/>
            <w:vAlign w:val="center"/>
          </w:tcPr>
          <w:p w14:paraId="58E440D3">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资金来源</w:t>
            </w:r>
          </w:p>
        </w:tc>
        <w:tc>
          <w:tcPr>
            <w:tcW w:w="7261" w:type="dxa"/>
            <w:noWrap w:val="0"/>
            <w:vAlign w:val="center"/>
          </w:tcPr>
          <w:p w14:paraId="4687FCAC">
            <w:pPr>
              <w:spacing w:line="360" w:lineRule="auto"/>
              <w:rPr>
                <w:rFonts w:hint="eastAsia" w:ascii="宋体" w:hAnsi="宋体" w:eastAsia="宋体" w:cs="宋体"/>
                <w:color w:val="000000"/>
                <w:sz w:val="24"/>
                <w:szCs w:val="24"/>
                <w:highlight w:val="none"/>
                <w:lang w:val="en-US"/>
              </w:rPr>
            </w:pPr>
            <w:r>
              <w:rPr>
                <w:rFonts w:hint="eastAsia" w:ascii="宋体" w:hAnsi="宋体" w:cs="宋体"/>
                <w:color w:val="000000"/>
                <w:sz w:val="24"/>
                <w:szCs w:val="24"/>
                <w:highlight w:val="none"/>
                <w:lang w:val="en-US" w:eastAsia="zh-CN"/>
              </w:rPr>
              <w:t>专项债券资金</w:t>
            </w:r>
          </w:p>
        </w:tc>
      </w:tr>
      <w:tr w14:paraId="0458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3" w:type="dxa"/>
            <w:noWrap w:val="0"/>
            <w:vAlign w:val="center"/>
          </w:tcPr>
          <w:p w14:paraId="67750088">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1.2.2</w:t>
            </w:r>
          </w:p>
        </w:tc>
        <w:tc>
          <w:tcPr>
            <w:tcW w:w="2257" w:type="dxa"/>
            <w:gridSpan w:val="2"/>
            <w:noWrap w:val="0"/>
            <w:vAlign w:val="center"/>
          </w:tcPr>
          <w:p w14:paraId="5C61377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资金落实情况</w:t>
            </w:r>
          </w:p>
        </w:tc>
        <w:tc>
          <w:tcPr>
            <w:tcW w:w="7261" w:type="dxa"/>
            <w:noWrap w:val="0"/>
            <w:vAlign w:val="center"/>
          </w:tcPr>
          <w:p w14:paraId="60F2C9C3">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已落实</w:t>
            </w:r>
          </w:p>
        </w:tc>
      </w:tr>
      <w:tr w14:paraId="69DA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63" w:type="dxa"/>
            <w:noWrap w:val="0"/>
            <w:vAlign w:val="center"/>
          </w:tcPr>
          <w:p w14:paraId="3B0411C0">
            <w:pPr>
              <w:spacing w:line="360" w:lineRule="auto"/>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1.3.1</w:t>
            </w:r>
          </w:p>
        </w:tc>
        <w:tc>
          <w:tcPr>
            <w:tcW w:w="2257" w:type="dxa"/>
            <w:gridSpan w:val="2"/>
            <w:noWrap w:val="0"/>
            <w:vAlign w:val="center"/>
          </w:tcPr>
          <w:p w14:paraId="5A6205E2">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b w:val="0"/>
                <w:bCs w:val="0"/>
                <w:color w:val="000000"/>
                <w:kern w:val="2"/>
                <w:sz w:val="24"/>
                <w:szCs w:val="24"/>
                <w:highlight w:val="none"/>
                <w:lang w:val="en-US" w:eastAsia="zh-CN" w:bidi="ar-SA"/>
              </w:rPr>
              <w:t>采购内容</w:t>
            </w:r>
            <w:r>
              <w:rPr>
                <w:rFonts w:hint="eastAsia" w:ascii="宋体" w:hAnsi="宋体" w:cs="宋体"/>
                <w:b w:val="0"/>
                <w:bCs w:val="0"/>
                <w:color w:val="000000"/>
                <w:kern w:val="2"/>
                <w:sz w:val="24"/>
                <w:szCs w:val="24"/>
                <w:highlight w:val="none"/>
                <w:lang w:val="en-US" w:eastAsia="zh-CN" w:bidi="ar-SA"/>
              </w:rPr>
              <w:t>及招标控制价</w:t>
            </w:r>
          </w:p>
        </w:tc>
        <w:tc>
          <w:tcPr>
            <w:tcW w:w="7261" w:type="dxa"/>
            <w:noWrap w:val="0"/>
            <w:vAlign w:val="center"/>
          </w:tcPr>
          <w:p w14:paraId="4776656B">
            <w:pPr>
              <w:pStyle w:val="25"/>
              <w:keepNext w:val="0"/>
              <w:keepLines w:val="0"/>
              <w:widowControl/>
              <w:suppressLineNumbers w:val="0"/>
              <w:spacing w:before="0" w:beforeAutospacing="0" w:after="0" w:afterAutospacing="0" w:line="360" w:lineRule="auto"/>
              <w:ind w:right="0"/>
              <w:jc w:val="left"/>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第一标段：病床；</w:t>
            </w:r>
            <w:r>
              <w:rPr>
                <w:rFonts w:hint="eastAsia" w:ascii="宋体" w:hAnsi="宋体" w:cs="宋体"/>
                <w:sz w:val="24"/>
                <w:szCs w:val="24"/>
                <w:highlight w:val="none"/>
                <w:lang w:val="en-US" w:eastAsia="zh-CN"/>
              </w:rPr>
              <w:t xml:space="preserve">     招标控制价：</w:t>
            </w:r>
            <w:r>
              <w:rPr>
                <w:rFonts w:hint="eastAsia" w:ascii="宋体" w:hAnsi="宋体" w:cs="宋体"/>
                <w:b w:val="0"/>
                <w:bCs w:val="0"/>
                <w:color w:val="000000"/>
                <w:kern w:val="2"/>
                <w:sz w:val="24"/>
                <w:szCs w:val="24"/>
                <w:highlight w:val="none"/>
                <w:lang w:val="en-US" w:eastAsia="zh-CN" w:bidi="ar-SA"/>
              </w:rPr>
              <w:t>3810784.00元</w:t>
            </w:r>
          </w:p>
          <w:p w14:paraId="27DB4753">
            <w:pPr>
              <w:pStyle w:val="25"/>
              <w:keepNext w:val="0"/>
              <w:keepLines w:val="0"/>
              <w:widowControl/>
              <w:suppressLineNumbers w:val="0"/>
              <w:spacing w:before="0" w:beforeAutospacing="0" w:after="0" w:afterAutospacing="0" w:line="360" w:lineRule="auto"/>
              <w:ind w:left="0" w:leftChars="0" w:right="0" w:rightChars="0"/>
              <w:jc w:val="left"/>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第二标段：护士站、治疗柜、储物柜；</w:t>
            </w:r>
            <w:r>
              <w:rPr>
                <w:rFonts w:hint="eastAsia" w:ascii="宋体" w:hAnsi="宋体" w:cs="宋体"/>
                <w:sz w:val="24"/>
                <w:szCs w:val="24"/>
                <w:highlight w:val="none"/>
                <w:lang w:val="en-US" w:eastAsia="zh-CN"/>
              </w:rPr>
              <w:t>招标控制价：</w:t>
            </w:r>
            <w:r>
              <w:rPr>
                <w:rFonts w:hint="eastAsia" w:ascii="宋体" w:hAnsi="宋体" w:cs="宋体"/>
                <w:b w:val="0"/>
                <w:bCs w:val="0"/>
                <w:color w:val="000000"/>
                <w:kern w:val="2"/>
                <w:sz w:val="24"/>
                <w:szCs w:val="24"/>
                <w:highlight w:val="none"/>
                <w:lang w:val="en-US" w:eastAsia="zh-CN" w:bidi="ar-SA"/>
              </w:rPr>
              <w:t>8615896.80元</w:t>
            </w:r>
          </w:p>
          <w:p w14:paraId="4875A2E7">
            <w:pPr>
              <w:pStyle w:val="25"/>
              <w:keepNext w:val="0"/>
              <w:keepLines w:val="0"/>
              <w:widowControl/>
              <w:suppressLineNumbers w:val="0"/>
              <w:spacing w:before="0" w:beforeAutospacing="0" w:after="0" w:afterAutospacing="0" w:line="360" w:lineRule="auto"/>
              <w:ind w:left="0" w:leftChars="0" w:right="0" w:rightChars="0"/>
              <w:jc w:val="left"/>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第三标段：磁共振；</w:t>
            </w:r>
            <w:r>
              <w:rPr>
                <w:rFonts w:hint="eastAsia" w:ascii="宋体" w:hAnsi="宋体" w:cs="宋体"/>
                <w:sz w:val="24"/>
                <w:szCs w:val="24"/>
                <w:highlight w:val="none"/>
                <w:lang w:val="en-US" w:eastAsia="zh-CN"/>
              </w:rPr>
              <w:t xml:space="preserve">       招标控制价：</w:t>
            </w:r>
            <w:r>
              <w:rPr>
                <w:rFonts w:hint="eastAsia" w:ascii="宋体" w:hAnsi="宋体" w:cs="宋体"/>
                <w:b w:val="0"/>
                <w:bCs w:val="0"/>
                <w:color w:val="000000"/>
                <w:kern w:val="2"/>
                <w:sz w:val="24"/>
                <w:szCs w:val="24"/>
                <w:highlight w:val="none"/>
                <w:lang w:val="en-US" w:eastAsia="zh-CN" w:bidi="ar-SA"/>
              </w:rPr>
              <w:t>23000000.00元</w:t>
            </w:r>
          </w:p>
          <w:p w14:paraId="7725888E">
            <w:pPr>
              <w:pStyle w:val="25"/>
              <w:keepNext w:val="0"/>
              <w:keepLines w:val="0"/>
              <w:widowControl/>
              <w:suppressLineNumbers w:val="0"/>
              <w:spacing w:before="0" w:beforeAutospacing="0" w:after="0" w:afterAutospacing="0" w:line="360" w:lineRule="auto"/>
              <w:ind w:left="0" w:leftChars="0" w:right="0" w:rightChars="0"/>
              <w:jc w:val="left"/>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第四标段：直线加速器；</w:t>
            </w:r>
            <w:r>
              <w:rPr>
                <w:rFonts w:hint="eastAsia" w:ascii="宋体" w:hAnsi="宋体" w:cs="宋体"/>
                <w:sz w:val="24"/>
                <w:szCs w:val="24"/>
                <w:highlight w:val="none"/>
                <w:lang w:val="en-US" w:eastAsia="zh-CN"/>
              </w:rPr>
              <w:t xml:space="preserve">   招标控制价：</w:t>
            </w:r>
            <w:r>
              <w:rPr>
                <w:rFonts w:hint="eastAsia" w:ascii="宋体" w:hAnsi="宋体" w:cs="宋体"/>
                <w:b w:val="0"/>
                <w:bCs w:val="0"/>
                <w:color w:val="000000"/>
                <w:kern w:val="2"/>
                <w:sz w:val="24"/>
                <w:szCs w:val="24"/>
                <w:highlight w:val="none"/>
                <w:lang w:val="en-US" w:eastAsia="zh-CN" w:bidi="ar-SA"/>
              </w:rPr>
              <w:t>23000000.00元</w:t>
            </w:r>
          </w:p>
          <w:p w14:paraId="53F8F5A9">
            <w:pPr>
              <w:pStyle w:val="25"/>
              <w:keepNext w:val="0"/>
              <w:keepLines w:val="0"/>
              <w:widowControl/>
              <w:suppressLineNumbers w:val="0"/>
              <w:spacing w:before="0" w:beforeAutospacing="0" w:after="0" w:afterAutospacing="0" w:line="360" w:lineRule="auto"/>
              <w:ind w:right="0"/>
              <w:jc w:val="left"/>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第五标段：其他医疗设备；</w:t>
            </w:r>
            <w:r>
              <w:rPr>
                <w:rFonts w:hint="eastAsia" w:ascii="宋体" w:hAnsi="宋体" w:cs="宋体"/>
                <w:sz w:val="24"/>
                <w:szCs w:val="24"/>
                <w:highlight w:val="none"/>
                <w:lang w:val="en-US" w:eastAsia="zh-CN"/>
              </w:rPr>
              <w:t xml:space="preserve"> 招标控制价：</w:t>
            </w:r>
            <w:r>
              <w:rPr>
                <w:rFonts w:hint="eastAsia" w:ascii="宋体" w:hAnsi="宋体" w:cs="宋体"/>
                <w:b w:val="0"/>
                <w:bCs w:val="0"/>
                <w:color w:val="000000"/>
                <w:kern w:val="2"/>
                <w:sz w:val="24"/>
                <w:szCs w:val="24"/>
                <w:highlight w:val="none"/>
                <w:lang w:val="en-US" w:eastAsia="zh-CN" w:bidi="ar-SA"/>
              </w:rPr>
              <w:t>18640000.00元</w:t>
            </w:r>
          </w:p>
        </w:tc>
      </w:tr>
      <w:tr w14:paraId="7E2A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63" w:type="dxa"/>
            <w:noWrap w:val="0"/>
            <w:vAlign w:val="center"/>
          </w:tcPr>
          <w:p w14:paraId="424D4807">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1.3.2</w:t>
            </w:r>
          </w:p>
        </w:tc>
        <w:tc>
          <w:tcPr>
            <w:tcW w:w="2257" w:type="dxa"/>
            <w:gridSpan w:val="2"/>
            <w:noWrap w:val="0"/>
            <w:vAlign w:val="center"/>
          </w:tcPr>
          <w:p w14:paraId="7D739D1A">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供货期限</w:t>
            </w:r>
          </w:p>
        </w:tc>
        <w:tc>
          <w:tcPr>
            <w:tcW w:w="7261" w:type="dxa"/>
            <w:noWrap w:val="0"/>
            <w:vAlign w:val="center"/>
          </w:tcPr>
          <w:p w14:paraId="49F57EB6">
            <w:pPr>
              <w:pStyle w:val="25"/>
              <w:keepNext w:val="0"/>
              <w:keepLines w:val="0"/>
              <w:widowControl/>
              <w:suppressLineNumbers w:val="0"/>
              <w:spacing w:before="0" w:beforeAutospacing="0" w:after="0" w:afterAutospacing="0" w:line="360" w:lineRule="auto"/>
              <w:ind w:left="0" w:leftChars="0" w:right="0" w:rightChars="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第一标段：签订合同后30日历天</w:t>
            </w:r>
          </w:p>
          <w:p w14:paraId="123A413A">
            <w:pPr>
              <w:pStyle w:val="25"/>
              <w:keepNext w:val="0"/>
              <w:keepLines w:val="0"/>
              <w:widowControl/>
              <w:suppressLineNumbers w:val="0"/>
              <w:spacing w:before="0" w:beforeAutospacing="0" w:after="0" w:afterAutospacing="0" w:line="360" w:lineRule="auto"/>
              <w:ind w:left="0" w:leftChars="0" w:right="0" w:rightChars="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第二标段：签订合同后50日历天</w:t>
            </w:r>
          </w:p>
          <w:p w14:paraId="3D27FF73">
            <w:pPr>
              <w:pStyle w:val="25"/>
              <w:keepNext w:val="0"/>
              <w:keepLines w:val="0"/>
              <w:widowControl/>
              <w:suppressLineNumbers w:val="0"/>
              <w:spacing w:before="0" w:beforeAutospacing="0" w:after="0" w:afterAutospacing="0" w:line="360" w:lineRule="auto"/>
              <w:ind w:left="0" w:leftChars="0" w:right="0" w:rightChars="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第四标段：签订合同后45日历天</w:t>
            </w:r>
          </w:p>
          <w:p w14:paraId="0042F7A5">
            <w:pPr>
              <w:pStyle w:val="25"/>
              <w:keepNext w:val="0"/>
              <w:keepLines w:val="0"/>
              <w:widowControl/>
              <w:suppressLineNumbers w:val="0"/>
              <w:spacing w:before="0" w:beforeAutospacing="0" w:after="0" w:afterAutospacing="0" w:line="360" w:lineRule="auto"/>
              <w:ind w:left="0" w:leftChars="0" w:right="0" w:rightChars="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第五标段：签订合同后45日历天（其中高压氧舱为签订合同后180日历天）</w:t>
            </w:r>
          </w:p>
        </w:tc>
      </w:tr>
      <w:tr w14:paraId="481A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63" w:type="dxa"/>
            <w:noWrap w:val="0"/>
            <w:vAlign w:val="center"/>
          </w:tcPr>
          <w:p w14:paraId="4683A06A">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1.3.3</w:t>
            </w:r>
          </w:p>
        </w:tc>
        <w:tc>
          <w:tcPr>
            <w:tcW w:w="2257" w:type="dxa"/>
            <w:gridSpan w:val="2"/>
            <w:noWrap w:val="0"/>
            <w:vAlign w:val="center"/>
          </w:tcPr>
          <w:p w14:paraId="7195EF3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质量要求</w:t>
            </w:r>
          </w:p>
        </w:tc>
        <w:tc>
          <w:tcPr>
            <w:tcW w:w="7261" w:type="dxa"/>
            <w:noWrap w:val="0"/>
            <w:vAlign w:val="center"/>
          </w:tcPr>
          <w:p w14:paraId="77CAE5A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合格</w:t>
            </w:r>
          </w:p>
        </w:tc>
      </w:tr>
      <w:tr w14:paraId="212B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3" w:type="dxa"/>
            <w:noWrap w:val="0"/>
            <w:vAlign w:val="center"/>
          </w:tcPr>
          <w:p w14:paraId="61958A46">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1.4.1</w:t>
            </w:r>
          </w:p>
        </w:tc>
        <w:tc>
          <w:tcPr>
            <w:tcW w:w="2257" w:type="dxa"/>
            <w:gridSpan w:val="2"/>
            <w:noWrap w:val="0"/>
            <w:vAlign w:val="center"/>
          </w:tcPr>
          <w:p w14:paraId="10F0A69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资</w:t>
            </w:r>
            <w:r>
              <w:rPr>
                <w:rFonts w:hint="eastAsia" w:ascii="宋体" w:hAnsi="宋体" w:eastAsia="宋体" w:cs="宋体"/>
                <w:color w:val="000000"/>
                <w:sz w:val="24"/>
                <w:szCs w:val="24"/>
                <w:highlight w:val="none"/>
                <w:lang w:val="en-US" w:eastAsia="zh-CN"/>
              </w:rPr>
              <w:t>格</w:t>
            </w:r>
            <w:r>
              <w:rPr>
                <w:rFonts w:hint="eastAsia" w:ascii="宋体" w:hAnsi="宋体" w:eastAsia="宋体" w:cs="宋体"/>
                <w:color w:val="000000"/>
                <w:sz w:val="24"/>
                <w:szCs w:val="24"/>
                <w:highlight w:val="none"/>
              </w:rPr>
              <w:t>条件</w:t>
            </w:r>
          </w:p>
        </w:tc>
        <w:tc>
          <w:tcPr>
            <w:tcW w:w="7261" w:type="dxa"/>
            <w:noWrap w:val="0"/>
            <w:vAlign w:val="center"/>
          </w:tcPr>
          <w:p w14:paraId="19B19A56">
            <w:pPr>
              <w:pStyle w:val="25"/>
              <w:keepNext w:val="0"/>
              <w:keepLines w:val="0"/>
              <w:widowControl/>
              <w:suppressLineNumbers w:val="0"/>
              <w:spacing w:before="0" w:beforeAutospacing="0" w:after="0" w:afterAutospacing="0" w:line="360" w:lineRule="auto"/>
              <w:ind w:right="0"/>
              <w:jc w:val="left"/>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见公告</w:t>
            </w:r>
          </w:p>
        </w:tc>
      </w:tr>
      <w:tr w14:paraId="4827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3" w:type="dxa"/>
            <w:noWrap w:val="0"/>
            <w:vAlign w:val="center"/>
          </w:tcPr>
          <w:p w14:paraId="5DEB8307">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1.4.2</w:t>
            </w:r>
          </w:p>
        </w:tc>
        <w:tc>
          <w:tcPr>
            <w:tcW w:w="2257" w:type="dxa"/>
            <w:gridSpan w:val="2"/>
            <w:noWrap w:val="0"/>
            <w:vAlign w:val="center"/>
          </w:tcPr>
          <w:p w14:paraId="2E576D3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是否接受联合体投标</w:t>
            </w:r>
          </w:p>
        </w:tc>
        <w:tc>
          <w:tcPr>
            <w:tcW w:w="7261" w:type="dxa"/>
            <w:noWrap w:val="0"/>
            <w:vAlign w:val="center"/>
          </w:tcPr>
          <w:p w14:paraId="5B74C8F8">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不接受</w:t>
            </w:r>
          </w:p>
        </w:tc>
      </w:tr>
      <w:tr w14:paraId="5697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63" w:type="dxa"/>
            <w:noWrap w:val="0"/>
            <w:vAlign w:val="center"/>
          </w:tcPr>
          <w:p w14:paraId="62B92E40">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1.9</w:t>
            </w:r>
          </w:p>
        </w:tc>
        <w:tc>
          <w:tcPr>
            <w:tcW w:w="2257" w:type="dxa"/>
            <w:gridSpan w:val="2"/>
            <w:noWrap w:val="0"/>
            <w:vAlign w:val="center"/>
          </w:tcPr>
          <w:p w14:paraId="12DD1BD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踏勘现场</w:t>
            </w:r>
          </w:p>
        </w:tc>
        <w:tc>
          <w:tcPr>
            <w:tcW w:w="7261" w:type="dxa"/>
            <w:noWrap w:val="0"/>
            <w:vAlign w:val="center"/>
          </w:tcPr>
          <w:p w14:paraId="47020194">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不组织</w:t>
            </w:r>
          </w:p>
        </w:tc>
      </w:tr>
      <w:tr w14:paraId="3D3C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3" w:type="dxa"/>
            <w:noWrap w:val="0"/>
            <w:vAlign w:val="center"/>
          </w:tcPr>
          <w:p w14:paraId="26986171">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1.10</w:t>
            </w:r>
          </w:p>
        </w:tc>
        <w:tc>
          <w:tcPr>
            <w:tcW w:w="2257" w:type="dxa"/>
            <w:gridSpan w:val="2"/>
            <w:noWrap w:val="0"/>
            <w:vAlign w:val="center"/>
          </w:tcPr>
          <w:p w14:paraId="279E50A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投标预备会</w:t>
            </w:r>
          </w:p>
        </w:tc>
        <w:tc>
          <w:tcPr>
            <w:tcW w:w="7261" w:type="dxa"/>
            <w:noWrap w:val="0"/>
            <w:vAlign w:val="center"/>
          </w:tcPr>
          <w:p w14:paraId="1128FF1E">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不召开</w:t>
            </w:r>
          </w:p>
        </w:tc>
      </w:tr>
      <w:tr w14:paraId="3B01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3" w:type="dxa"/>
            <w:noWrap w:val="0"/>
            <w:vAlign w:val="center"/>
          </w:tcPr>
          <w:p w14:paraId="15C57175">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1.11</w:t>
            </w:r>
          </w:p>
        </w:tc>
        <w:tc>
          <w:tcPr>
            <w:tcW w:w="2257" w:type="dxa"/>
            <w:gridSpan w:val="2"/>
            <w:noWrap w:val="0"/>
            <w:vAlign w:val="center"/>
          </w:tcPr>
          <w:p w14:paraId="043771E8">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分包</w:t>
            </w:r>
          </w:p>
        </w:tc>
        <w:tc>
          <w:tcPr>
            <w:tcW w:w="7261" w:type="dxa"/>
            <w:noWrap w:val="0"/>
            <w:vAlign w:val="center"/>
          </w:tcPr>
          <w:p w14:paraId="2ADF7846">
            <w:pPr>
              <w:spacing w:line="360" w:lineRule="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不允许</w:t>
            </w:r>
          </w:p>
        </w:tc>
      </w:tr>
      <w:tr w14:paraId="7476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63" w:type="dxa"/>
            <w:noWrap w:val="0"/>
            <w:vAlign w:val="center"/>
          </w:tcPr>
          <w:p w14:paraId="49D553C2">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2.2.1</w:t>
            </w:r>
          </w:p>
        </w:tc>
        <w:tc>
          <w:tcPr>
            <w:tcW w:w="2257" w:type="dxa"/>
            <w:gridSpan w:val="2"/>
            <w:noWrap w:val="0"/>
            <w:vAlign w:val="center"/>
          </w:tcPr>
          <w:p w14:paraId="5B2079F5">
            <w:pPr>
              <w:spacing w:line="360" w:lineRule="auto"/>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提出问题的截止时间</w:t>
            </w:r>
          </w:p>
        </w:tc>
        <w:tc>
          <w:tcPr>
            <w:tcW w:w="7261" w:type="dxa"/>
            <w:noWrap w:val="0"/>
            <w:vAlign w:val="center"/>
          </w:tcPr>
          <w:p w14:paraId="28E21AFD">
            <w:pPr>
              <w:spacing w:line="360"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递交投标文件截止日期 10 日前</w:t>
            </w:r>
          </w:p>
        </w:tc>
      </w:tr>
      <w:tr w14:paraId="10CA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63" w:type="dxa"/>
            <w:noWrap w:val="0"/>
            <w:vAlign w:val="center"/>
          </w:tcPr>
          <w:p w14:paraId="36C23466">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2.2.2</w:t>
            </w:r>
          </w:p>
        </w:tc>
        <w:tc>
          <w:tcPr>
            <w:tcW w:w="2257" w:type="dxa"/>
            <w:gridSpan w:val="2"/>
            <w:noWrap w:val="0"/>
            <w:vAlign w:val="top"/>
          </w:tcPr>
          <w:p w14:paraId="7731D0C7">
            <w:pPr>
              <w:spacing w:line="240" w:lineRule="auto"/>
              <w:rPr>
                <w:rFonts w:hint="eastAsia" w:ascii="宋体" w:hAnsi="宋体" w:eastAsia="宋体" w:cs="宋体"/>
                <w:color w:val="000000"/>
                <w:sz w:val="24"/>
                <w:szCs w:val="24"/>
                <w:highlight w:val="none"/>
                <w:lang w:val="zh-CN" w:eastAsia="zh-CN"/>
              </w:rPr>
            </w:pPr>
          </w:p>
          <w:p w14:paraId="159FAA55">
            <w:pPr>
              <w:spacing w:line="240"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zh-CN" w:eastAsia="zh-CN"/>
              </w:rPr>
              <w:t>澄清的时间</w:t>
            </w:r>
          </w:p>
        </w:tc>
        <w:tc>
          <w:tcPr>
            <w:tcW w:w="7261" w:type="dxa"/>
            <w:noWrap w:val="0"/>
            <w:vAlign w:val="top"/>
          </w:tcPr>
          <w:p w14:paraId="6B1B62C2">
            <w:pPr>
              <w:spacing w:line="240" w:lineRule="auto"/>
              <w:rPr>
                <w:rFonts w:hint="eastAsia" w:ascii="宋体" w:hAnsi="宋体" w:eastAsia="宋体" w:cs="宋体"/>
                <w:color w:val="000000"/>
                <w:sz w:val="24"/>
                <w:szCs w:val="24"/>
                <w:highlight w:val="none"/>
                <w:lang w:val="zh-CN" w:eastAsia="zh-CN"/>
              </w:rPr>
            </w:pPr>
          </w:p>
          <w:p w14:paraId="272D8F7C">
            <w:pPr>
              <w:spacing w:line="240" w:lineRule="auto"/>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kern w:val="0"/>
                <w:sz w:val="24"/>
                <w:szCs w:val="24"/>
                <w:highlight w:val="none"/>
                <w:lang w:val="en-US" w:eastAsia="zh-CN" w:bidi="ar"/>
              </w:rPr>
              <w:t>递交投标文件的截止之日 15 日前</w:t>
            </w:r>
          </w:p>
        </w:tc>
      </w:tr>
      <w:tr w14:paraId="06A3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63" w:type="dxa"/>
            <w:noWrap w:val="0"/>
            <w:vAlign w:val="center"/>
          </w:tcPr>
          <w:p w14:paraId="7DBB4180">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2.2.2</w:t>
            </w:r>
          </w:p>
        </w:tc>
        <w:tc>
          <w:tcPr>
            <w:tcW w:w="2257" w:type="dxa"/>
            <w:gridSpan w:val="2"/>
            <w:noWrap w:val="0"/>
            <w:vAlign w:val="top"/>
          </w:tcPr>
          <w:p w14:paraId="14A57BF8">
            <w:pPr>
              <w:pStyle w:val="42"/>
              <w:spacing w:before="26"/>
              <w:ind w:left="2"/>
              <w:rPr>
                <w:rFonts w:hint="eastAsia" w:ascii="宋体" w:hAnsi="宋体" w:eastAsia="宋体" w:cs="宋体"/>
                <w:b w:val="0"/>
                <w:bCs w:val="0"/>
                <w:kern w:val="2"/>
                <w:sz w:val="24"/>
                <w:szCs w:val="24"/>
                <w:highlight w:val="none"/>
                <w:lang w:val="en-US" w:eastAsia="zh-CN" w:bidi="zh-CN"/>
              </w:rPr>
            </w:pPr>
          </w:p>
          <w:p w14:paraId="57C04F01">
            <w:pPr>
              <w:pStyle w:val="42"/>
              <w:spacing w:before="26"/>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kern w:val="2"/>
                <w:sz w:val="24"/>
                <w:szCs w:val="24"/>
                <w:highlight w:val="none"/>
                <w:lang w:val="en-US" w:eastAsia="zh-CN" w:bidi="zh-CN"/>
              </w:rPr>
              <w:t>招标文件澄清发出的形式</w:t>
            </w:r>
          </w:p>
        </w:tc>
        <w:tc>
          <w:tcPr>
            <w:tcW w:w="7261" w:type="dxa"/>
            <w:noWrap w:val="0"/>
            <w:vAlign w:val="top"/>
          </w:tcPr>
          <w:p w14:paraId="5F52B9F5">
            <w:pPr>
              <w:pStyle w:val="42"/>
              <w:spacing w:before="26"/>
              <w:ind w:left="2" w:leftChars="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val="0"/>
                <w:bCs w:val="0"/>
                <w:kern w:val="2"/>
                <w:sz w:val="24"/>
                <w:szCs w:val="24"/>
                <w:highlight w:val="none"/>
                <w:lang w:val="en-US" w:eastAsia="zh-CN" w:bidi="zh-CN"/>
              </w:rPr>
              <w:t>形式：电子形式，电子招标投标交易平台内发布，在原公告发布媒体上发布澄清或修改公告，</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在提交投标文件截止时间前须自行查看在原公告发布媒体上发布的澄清或修改公告，因</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未及时查看而造成的后果自负。</w:t>
            </w:r>
          </w:p>
        </w:tc>
      </w:tr>
      <w:tr w14:paraId="4501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963" w:type="dxa"/>
            <w:noWrap w:val="0"/>
            <w:vAlign w:val="center"/>
          </w:tcPr>
          <w:p w14:paraId="797E1A0C">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2.2.3</w:t>
            </w:r>
          </w:p>
        </w:tc>
        <w:tc>
          <w:tcPr>
            <w:tcW w:w="2257" w:type="dxa"/>
            <w:gridSpan w:val="2"/>
            <w:noWrap w:val="0"/>
            <w:vAlign w:val="top"/>
          </w:tcPr>
          <w:p w14:paraId="51549DBF">
            <w:pPr>
              <w:pStyle w:val="42"/>
              <w:spacing w:before="26"/>
              <w:ind w:left="2"/>
              <w:rPr>
                <w:rFonts w:hint="eastAsia" w:ascii="宋体" w:hAnsi="宋体" w:eastAsia="宋体" w:cs="宋体"/>
                <w:b w:val="0"/>
                <w:bCs w:val="0"/>
                <w:kern w:val="2"/>
                <w:sz w:val="24"/>
                <w:szCs w:val="24"/>
                <w:highlight w:val="none"/>
                <w:lang w:val="en-US" w:eastAsia="zh-CN" w:bidi="zh-CN"/>
              </w:rPr>
            </w:pPr>
          </w:p>
          <w:p w14:paraId="2EE56F75">
            <w:pPr>
              <w:pStyle w:val="42"/>
              <w:spacing w:before="26"/>
              <w:rPr>
                <w:rFonts w:hint="eastAsia" w:ascii="宋体" w:hAnsi="宋体" w:eastAsia="宋体" w:cs="宋体"/>
                <w:b w:val="0"/>
                <w:bCs w:val="0"/>
                <w:kern w:val="2"/>
                <w:sz w:val="24"/>
                <w:szCs w:val="24"/>
                <w:highlight w:val="none"/>
                <w:lang w:val="en-US" w:eastAsia="zh-CN" w:bidi="zh-CN"/>
              </w:rPr>
            </w:pP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要求澄清招标文件的形式</w:t>
            </w:r>
          </w:p>
        </w:tc>
        <w:tc>
          <w:tcPr>
            <w:tcW w:w="7261" w:type="dxa"/>
            <w:noWrap w:val="0"/>
            <w:vAlign w:val="top"/>
          </w:tcPr>
          <w:p w14:paraId="461F06FC">
            <w:pPr>
              <w:pStyle w:val="42"/>
              <w:spacing w:before="26"/>
              <w:ind w:left="2" w:leftChars="0"/>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形式：电子招标投标交易平台内提出，需要上传交易系统的文件，必须是 PDF 格式并且加盖有</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电子签章。如果文件是用 word 编辑的，</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可点击文件左上角文件选择“输出为 PDF”，将 word 文件转变为 PDF 格式后加盖电子签章上传；或书面形式提出并加盖公司印章及</w:t>
            </w:r>
            <w:r>
              <w:rPr>
                <w:rFonts w:hint="eastAsia" w:cs="宋体"/>
                <w:b w:val="0"/>
                <w:bCs w:val="0"/>
                <w:kern w:val="2"/>
                <w:sz w:val="24"/>
                <w:szCs w:val="24"/>
                <w:highlight w:val="none"/>
                <w:lang w:val="en-US" w:eastAsia="zh-CN" w:bidi="zh-CN"/>
              </w:rPr>
              <w:t>法定代表人</w:t>
            </w:r>
            <w:r>
              <w:rPr>
                <w:rFonts w:hint="eastAsia" w:ascii="宋体" w:hAnsi="宋体" w:eastAsia="宋体" w:cs="宋体"/>
                <w:b w:val="0"/>
                <w:bCs w:val="0"/>
                <w:kern w:val="2"/>
                <w:sz w:val="24"/>
                <w:szCs w:val="24"/>
                <w:highlight w:val="none"/>
                <w:lang w:val="en-US" w:eastAsia="zh-CN" w:bidi="zh-CN"/>
              </w:rPr>
              <w:t>（单位负责人）或授权委托人签字。</w:t>
            </w:r>
          </w:p>
        </w:tc>
      </w:tr>
      <w:tr w14:paraId="5C9C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63" w:type="dxa"/>
            <w:noWrap w:val="0"/>
            <w:vAlign w:val="center"/>
          </w:tcPr>
          <w:p w14:paraId="5DB00901">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2.3</w:t>
            </w:r>
          </w:p>
        </w:tc>
        <w:tc>
          <w:tcPr>
            <w:tcW w:w="2257" w:type="dxa"/>
            <w:gridSpan w:val="2"/>
            <w:noWrap w:val="0"/>
            <w:vAlign w:val="top"/>
          </w:tcPr>
          <w:p w14:paraId="77212F84">
            <w:pPr>
              <w:pStyle w:val="42"/>
              <w:spacing w:before="26"/>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构成招标文件的其他材料</w:t>
            </w:r>
          </w:p>
        </w:tc>
        <w:tc>
          <w:tcPr>
            <w:tcW w:w="7261" w:type="dxa"/>
            <w:noWrap w:val="0"/>
            <w:vAlign w:val="top"/>
          </w:tcPr>
          <w:p w14:paraId="2EB68B84">
            <w:pPr>
              <w:pStyle w:val="42"/>
              <w:spacing w:before="26"/>
              <w:ind w:left="2"/>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招标文件的补充文件（如有）、招标答疑纪要（如有）、招标控制价</w:t>
            </w:r>
          </w:p>
        </w:tc>
      </w:tr>
      <w:tr w14:paraId="6043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63" w:type="dxa"/>
            <w:noWrap w:val="0"/>
            <w:vAlign w:val="center"/>
          </w:tcPr>
          <w:p w14:paraId="02218EED">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3.1</w:t>
            </w:r>
          </w:p>
        </w:tc>
        <w:tc>
          <w:tcPr>
            <w:tcW w:w="2257" w:type="dxa"/>
            <w:gridSpan w:val="2"/>
            <w:noWrap w:val="0"/>
            <w:vAlign w:val="center"/>
          </w:tcPr>
          <w:p w14:paraId="76FC6EE7">
            <w:pPr>
              <w:pStyle w:val="42"/>
              <w:spacing w:before="26"/>
              <w:ind w:left="2"/>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投标截止时间</w:t>
            </w:r>
          </w:p>
        </w:tc>
        <w:tc>
          <w:tcPr>
            <w:tcW w:w="7261" w:type="dxa"/>
            <w:noWrap w:val="0"/>
            <w:vAlign w:val="center"/>
          </w:tcPr>
          <w:p w14:paraId="15117720">
            <w:pPr>
              <w:pStyle w:val="42"/>
              <w:spacing w:before="26"/>
              <w:ind w:left="2"/>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详见招标公告</w:t>
            </w:r>
          </w:p>
        </w:tc>
      </w:tr>
      <w:tr w14:paraId="08BD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3" w:type="dxa"/>
            <w:noWrap w:val="0"/>
            <w:vAlign w:val="center"/>
          </w:tcPr>
          <w:p w14:paraId="061B6C56">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3.3.1</w:t>
            </w:r>
          </w:p>
        </w:tc>
        <w:tc>
          <w:tcPr>
            <w:tcW w:w="2257" w:type="dxa"/>
            <w:gridSpan w:val="2"/>
            <w:noWrap w:val="0"/>
            <w:vAlign w:val="center"/>
          </w:tcPr>
          <w:p w14:paraId="64475CDE">
            <w:pPr>
              <w:pStyle w:val="42"/>
              <w:spacing w:before="26"/>
              <w:ind w:left="2"/>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投标有效期</w:t>
            </w:r>
          </w:p>
        </w:tc>
        <w:tc>
          <w:tcPr>
            <w:tcW w:w="7261" w:type="dxa"/>
            <w:noWrap w:val="0"/>
            <w:vAlign w:val="center"/>
          </w:tcPr>
          <w:p w14:paraId="4C09A860">
            <w:pPr>
              <w:pStyle w:val="42"/>
              <w:spacing w:before="26"/>
              <w:ind w:left="2"/>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自投标截止之日起60 日历天</w:t>
            </w:r>
          </w:p>
        </w:tc>
      </w:tr>
      <w:tr w14:paraId="0F13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63" w:type="dxa"/>
            <w:noWrap w:val="0"/>
            <w:vAlign w:val="center"/>
          </w:tcPr>
          <w:p w14:paraId="153EF177">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3.4</w:t>
            </w:r>
          </w:p>
        </w:tc>
        <w:tc>
          <w:tcPr>
            <w:tcW w:w="2257" w:type="dxa"/>
            <w:gridSpan w:val="2"/>
            <w:noWrap w:val="0"/>
            <w:vAlign w:val="center"/>
          </w:tcPr>
          <w:p w14:paraId="7B3040FE">
            <w:pPr>
              <w:pStyle w:val="42"/>
              <w:spacing w:before="26"/>
              <w:ind w:left="2"/>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签字或盖章要求</w:t>
            </w:r>
          </w:p>
        </w:tc>
        <w:tc>
          <w:tcPr>
            <w:tcW w:w="7261" w:type="dxa"/>
            <w:noWrap w:val="0"/>
            <w:vAlign w:val="center"/>
          </w:tcPr>
          <w:p w14:paraId="614467AE">
            <w:pPr>
              <w:pStyle w:val="42"/>
              <w:spacing w:before="26"/>
              <w:ind w:left="2"/>
              <w:rPr>
                <w:rFonts w:hint="eastAsia" w:cs="宋体"/>
                <w:b w:val="0"/>
                <w:bCs w:val="0"/>
                <w:kern w:val="2"/>
                <w:sz w:val="24"/>
                <w:szCs w:val="24"/>
                <w:highlight w:val="none"/>
                <w:lang w:val="en-US" w:eastAsia="zh-CN" w:bidi="zh-CN"/>
              </w:rPr>
            </w:pPr>
            <w:r>
              <w:rPr>
                <w:rFonts w:hint="eastAsia" w:cs="宋体"/>
                <w:b w:val="0"/>
                <w:bCs w:val="0"/>
                <w:kern w:val="2"/>
                <w:sz w:val="24"/>
                <w:szCs w:val="24"/>
                <w:highlight w:val="none"/>
                <w:lang w:val="en-US" w:eastAsia="zh-CN" w:bidi="zh-CN"/>
              </w:rPr>
              <w:t>要求签字的地方必须签字；</w:t>
            </w:r>
          </w:p>
          <w:p w14:paraId="46A3AD7A">
            <w:pPr>
              <w:pStyle w:val="42"/>
              <w:spacing w:before="26"/>
              <w:ind w:left="2"/>
              <w:rPr>
                <w:rFonts w:hint="eastAsia" w:cs="宋体"/>
                <w:b w:val="0"/>
                <w:bCs w:val="0"/>
                <w:kern w:val="2"/>
                <w:sz w:val="24"/>
                <w:szCs w:val="24"/>
                <w:highlight w:val="none"/>
                <w:lang w:val="en-US" w:eastAsia="zh-CN" w:bidi="zh-CN"/>
              </w:rPr>
            </w:pPr>
            <w:r>
              <w:rPr>
                <w:rFonts w:hint="eastAsia" w:cs="宋体"/>
                <w:b w:val="0"/>
                <w:bCs w:val="0"/>
                <w:kern w:val="2"/>
                <w:sz w:val="24"/>
                <w:szCs w:val="24"/>
                <w:highlight w:val="none"/>
                <w:lang w:val="en-US" w:eastAsia="zh-CN" w:bidi="zh-CN"/>
              </w:rPr>
              <w:t>要求盖章的地方必须盖章；</w:t>
            </w:r>
          </w:p>
          <w:p w14:paraId="14C3D296">
            <w:pPr>
              <w:pStyle w:val="42"/>
              <w:spacing w:before="26"/>
              <w:ind w:left="2"/>
              <w:rPr>
                <w:rFonts w:hint="eastAsia" w:ascii="宋体" w:hAnsi="宋体" w:eastAsia="宋体" w:cs="宋体"/>
                <w:b w:val="0"/>
                <w:bCs w:val="0"/>
                <w:kern w:val="2"/>
                <w:sz w:val="24"/>
                <w:szCs w:val="24"/>
                <w:highlight w:val="none"/>
                <w:lang w:val="en-US" w:eastAsia="zh-CN" w:bidi="zh-CN"/>
              </w:rPr>
            </w:pPr>
            <w:r>
              <w:rPr>
                <w:rFonts w:hint="eastAsia" w:cs="宋体"/>
                <w:b w:val="0"/>
                <w:bCs w:val="0"/>
                <w:kern w:val="2"/>
                <w:sz w:val="24"/>
                <w:szCs w:val="24"/>
                <w:highlight w:val="none"/>
                <w:lang w:val="en-US" w:eastAsia="zh-CN" w:bidi="zh-CN"/>
              </w:rPr>
              <w:t>签章指签字并盖章</w:t>
            </w:r>
            <w:r>
              <w:rPr>
                <w:rFonts w:hint="eastAsia" w:ascii="宋体" w:hAnsi="宋体" w:eastAsia="宋体" w:cs="宋体"/>
                <w:b w:val="0"/>
                <w:bCs w:val="0"/>
                <w:kern w:val="2"/>
                <w:sz w:val="24"/>
                <w:szCs w:val="24"/>
                <w:highlight w:val="none"/>
                <w:lang w:val="en-US" w:eastAsia="zh-CN" w:bidi="zh-CN"/>
              </w:rPr>
              <w:t>。</w:t>
            </w:r>
          </w:p>
        </w:tc>
      </w:tr>
      <w:tr w14:paraId="6E82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63" w:type="dxa"/>
            <w:noWrap w:val="0"/>
            <w:vAlign w:val="center"/>
          </w:tcPr>
          <w:p w14:paraId="2955CF11">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p>
        </w:tc>
        <w:tc>
          <w:tcPr>
            <w:tcW w:w="2257" w:type="dxa"/>
            <w:gridSpan w:val="2"/>
            <w:noWrap w:val="0"/>
            <w:vAlign w:val="center"/>
          </w:tcPr>
          <w:p w14:paraId="57981FE4">
            <w:pPr>
              <w:spacing w:line="360"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投标文件份数</w:t>
            </w:r>
          </w:p>
          <w:p w14:paraId="268D0022">
            <w:pPr>
              <w:spacing w:line="360" w:lineRule="auto"/>
              <w:rPr>
                <w:rFonts w:hint="eastAsia" w:ascii="宋体" w:hAnsi="宋体" w:eastAsia="宋体" w:cs="宋体"/>
                <w:color w:val="000000"/>
                <w:sz w:val="24"/>
                <w:szCs w:val="24"/>
                <w:highlight w:val="none"/>
                <w:lang w:val="en-US" w:eastAsia="zh-CN"/>
              </w:rPr>
            </w:pPr>
          </w:p>
        </w:tc>
        <w:tc>
          <w:tcPr>
            <w:tcW w:w="7261" w:type="dxa"/>
            <w:noWrap w:val="0"/>
            <w:vAlign w:val="center"/>
          </w:tcPr>
          <w:p w14:paraId="3770FDE0">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网上上传GEF电子投标文件一份（按</w:t>
            </w:r>
            <w:r>
              <w:rPr>
                <w:rFonts w:hint="eastAsia" w:ascii="宋体" w:hAnsi="宋体" w:cs="宋体"/>
                <w:color w:val="000000"/>
                <w:sz w:val="24"/>
                <w:szCs w:val="24"/>
                <w:highlight w:val="none"/>
                <w:lang w:val="en-US" w:eastAsia="zh-CN"/>
              </w:rPr>
              <w:t>商丘市</w:t>
            </w:r>
            <w:r>
              <w:rPr>
                <w:rFonts w:hint="eastAsia" w:ascii="宋体" w:hAnsi="宋体" w:eastAsia="宋体" w:cs="宋体"/>
                <w:color w:val="000000"/>
                <w:sz w:val="24"/>
                <w:szCs w:val="24"/>
                <w:highlight w:val="none"/>
                <w:lang w:val="en-US" w:eastAsia="zh-CN"/>
              </w:rPr>
              <w:t xml:space="preserve">公共资源交易中心对电子投标文件的要求进行制作，在系统指定位置上传 ） </w:t>
            </w:r>
          </w:p>
        </w:tc>
      </w:tr>
      <w:tr w14:paraId="5E0F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63" w:type="dxa"/>
            <w:noWrap w:val="0"/>
            <w:vAlign w:val="center"/>
          </w:tcPr>
          <w:p w14:paraId="7B060904">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c>
          <w:tcPr>
            <w:tcW w:w="2257" w:type="dxa"/>
            <w:gridSpan w:val="2"/>
            <w:noWrap w:val="0"/>
            <w:vAlign w:val="center"/>
          </w:tcPr>
          <w:p w14:paraId="3BAA8175">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开标时间和地点 </w:t>
            </w:r>
          </w:p>
        </w:tc>
        <w:tc>
          <w:tcPr>
            <w:tcW w:w="7261" w:type="dxa"/>
            <w:noWrap w:val="0"/>
            <w:vAlign w:val="center"/>
          </w:tcPr>
          <w:p w14:paraId="466591BE">
            <w:pPr>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详见采购公告</w:t>
            </w:r>
          </w:p>
        </w:tc>
      </w:tr>
      <w:tr w14:paraId="6C2E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63" w:type="dxa"/>
            <w:noWrap w:val="0"/>
            <w:vAlign w:val="center"/>
          </w:tcPr>
          <w:p w14:paraId="796969DA">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2257" w:type="dxa"/>
            <w:gridSpan w:val="2"/>
            <w:noWrap w:val="0"/>
            <w:vAlign w:val="top"/>
          </w:tcPr>
          <w:p w14:paraId="7BE029AE">
            <w:pPr>
              <w:pStyle w:val="42"/>
              <w:rPr>
                <w:rFonts w:hint="eastAsia" w:ascii="宋体" w:hAnsi="宋体" w:eastAsia="宋体" w:cs="宋体"/>
                <w:color w:val="000000"/>
                <w:kern w:val="2"/>
                <w:sz w:val="24"/>
                <w:szCs w:val="24"/>
                <w:highlight w:val="none"/>
                <w:lang w:val="en-US" w:eastAsia="zh-CN" w:bidi="ar-SA"/>
              </w:rPr>
            </w:pPr>
          </w:p>
          <w:p w14:paraId="1EA6D9C1">
            <w:pPr>
              <w:pStyle w:val="42"/>
              <w:ind w:left="0" w:leftChars="0" w:right="0" w:rightChars="0"/>
              <w:jc w:val="both"/>
              <w:rPr>
                <w:rFonts w:hint="eastAsia" w:ascii="宋体" w:hAnsi="宋体" w:eastAsia="宋体" w:cs="宋体"/>
                <w:color w:val="000000"/>
                <w:kern w:val="2"/>
                <w:sz w:val="24"/>
                <w:szCs w:val="24"/>
                <w:highlight w:val="none"/>
                <w:lang w:val="zh-CN" w:eastAsia="zh-CN" w:bidi="ar-SA"/>
              </w:rPr>
            </w:pPr>
            <w:r>
              <w:rPr>
                <w:rFonts w:hint="eastAsia" w:cs="宋体"/>
                <w:color w:val="000000"/>
                <w:kern w:val="2"/>
                <w:sz w:val="24"/>
                <w:szCs w:val="24"/>
                <w:highlight w:val="none"/>
                <w:lang w:val="en-US" w:eastAsia="zh-CN" w:bidi="ar-SA"/>
              </w:rPr>
              <w:t>评标委员会</w:t>
            </w:r>
            <w:r>
              <w:rPr>
                <w:rFonts w:hint="eastAsia" w:ascii="宋体" w:hAnsi="宋体" w:eastAsia="宋体" w:cs="宋体"/>
                <w:color w:val="000000"/>
                <w:kern w:val="2"/>
                <w:sz w:val="24"/>
                <w:szCs w:val="24"/>
                <w:highlight w:val="none"/>
                <w:lang w:val="en-US" w:eastAsia="zh-CN" w:bidi="ar-SA"/>
              </w:rPr>
              <w:t>的组建</w:t>
            </w:r>
          </w:p>
        </w:tc>
        <w:tc>
          <w:tcPr>
            <w:tcW w:w="7261" w:type="dxa"/>
            <w:noWrap w:val="0"/>
            <w:vAlign w:val="top"/>
          </w:tcPr>
          <w:p w14:paraId="2470651D">
            <w:pPr>
              <w:pStyle w:val="42"/>
              <w:spacing w:before="26"/>
              <w:ind w:left="2"/>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zh-CN"/>
              </w:rPr>
              <w:t>评</w:t>
            </w:r>
            <w:r>
              <w:rPr>
                <w:rFonts w:hint="eastAsia" w:ascii="宋体" w:hAnsi="宋体" w:eastAsia="宋体" w:cs="宋体"/>
                <w:color w:val="000000"/>
                <w:kern w:val="2"/>
                <w:sz w:val="24"/>
                <w:szCs w:val="24"/>
                <w:highlight w:val="none"/>
                <w:lang w:val="en-US" w:eastAsia="zh-CN" w:bidi="ar-SA"/>
              </w:rPr>
              <w:t>标委员会构成： 由采购人代表 2 人， 有关方面的专家5人， 共 7人组成或由有关方面的专家7人</w:t>
            </w:r>
            <w:r>
              <w:rPr>
                <w:rFonts w:hint="eastAsia" w:cs="宋体"/>
                <w:color w:val="000000"/>
                <w:kern w:val="2"/>
                <w:sz w:val="24"/>
                <w:szCs w:val="24"/>
                <w:highlight w:val="none"/>
                <w:lang w:val="en-US" w:eastAsia="zh-CN" w:bidi="ar-SA"/>
              </w:rPr>
              <w:t>组成</w:t>
            </w:r>
            <w:r>
              <w:rPr>
                <w:rFonts w:hint="eastAsia" w:ascii="宋体" w:hAnsi="宋体" w:eastAsia="宋体" w:cs="宋体"/>
                <w:color w:val="000000"/>
                <w:kern w:val="2"/>
                <w:sz w:val="24"/>
                <w:szCs w:val="24"/>
                <w:highlight w:val="none"/>
                <w:lang w:val="en-US" w:eastAsia="zh-CN" w:bidi="ar-SA"/>
              </w:rPr>
              <w:t>。</w:t>
            </w:r>
          </w:p>
          <w:p w14:paraId="418D3040">
            <w:pPr>
              <w:pStyle w:val="42"/>
              <w:spacing w:before="56" w:line="345" w:lineRule="auto"/>
              <w:ind w:right="102" w:rightChars="0"/>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en-US" w:eastAsia="zh-CN" w:bidi="ar-SA"/>
              </w:rPr>
              <w:t>评标专家确定方式：从相关评标</w:t>
            </w:r>
            <w:r>
              <w:rPr>
                <w:rFonts w:hint="eastAsia" w:ascii="宋体" w:hAnsi="宋体" w:eastAsia="宋体" w:cs="宋体"/>
                <w:b w:val="0"/>
                <w:bCs w:val="0"/>
                <w:kern w:val="2"/>
                <w:sz w:val="24"/>
                <w:szCs w:val="24"/>
                <w:highlight w:val="none"/>
                <w:lang w:val="en-US" w:eastAsia="zh-CN" w:bidi="zh-CN"/>
              </w:rPr>
              <w:t>专家库中随机抽取确定</w:t>
            </w:r>
          </w:p>
        </w:tc>
      </w:tr>
      <w:tr w14:paraId="3BF6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63" w:type="dxa"/>
            <w:noWrap w:val="0"/>
            <w:vAlign w:val="center"/>
          </w:tcPr>
          <w:p w14:paraId="37A5CFD0">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p>
        </w:tc>
        <w:tc>
          <w:tcPr>
            <w:tcW w:w="2257" w:type="dxa"/>
            <w:gridSpan w:val="2"/>
            <w:noWrap w:val="0"/>
            <w:vAlign w:val="top"/>
          </w:tcPr>
          <w:p w14:paraId="724DC135">
            <w:pPr>
              <w:bidi w:val="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是否授权</w:t>
            </w:r>
            <w:r>
              <w:rPr>
                <w:rFonts w:hint="eastAsia" w:ascii="宋体" w:hAnsi="宋体" w:cs="宋体"/>
                <w:sz w:val="24"/>
                <w:szCs w:val="24"/>
                <w:highlight w:val="none"/>
                <w:lang w:val="en-US" w:eastAsia="zh-CN"/>
              </w:rPr>
              <w:t>评标委员会</w:t>
            </w:r>
            <w:r>
              <w:rPr>
                <w:rFonts w:hint="eastAsia" w:ascii="宋体" w:hAnsi="宋体" w:eastAsia="宋体" w:cs="宋体"/>
                <w:sz w:val="24"/>
                <w:szCs w:val="24"/>
                <w:highlight w:val="none"/>
                <w:lang w:val="en-US" w:eastAsia="zh-CN"/>
              </w:rPr>
              <w:t>确定成交人</w:t>
            </w:r>
          </w:p>
        </w:tc>
        <w:tc>
          <w:tcPr>
            <w:tcW w:w="7261" w:type="dxa"/>
            <w:noWrap w:val="0"/>
            <w:vAlign w:val="top"/>
          </w:tcPr>
          <w:p w14:paraId="2E925A8D">
            <w:pPr>
              <w:pStyle w:val="42"/>
              <w:spacing w:before="56" w:line="345" w:lineRule="auto"/>
              <w:ind w:right="102" w:rightChars="0"/>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b w:val="0"/>
                <w:bCs w:val="0"/>
                <w:kern w:val="2"/>
                <w:sz w:val="24"/>
                <w:szCs w:val="24"/>
                <w:highlight w:val="none"/>
                <w:lang w:val="en-US" w:eastAsia="zh-CN" w:bidi="zh-CN"/>
              </w:rPr>
              <w:t>否，推荐的中标候选人数：3 名</w:t>
            </w:r>
          </w:p>
        </w:tc>
      </w:tr>
      <w:tr w14:paraId="526D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63" w:type="dxa"/>
            <w:noWrap w:val="0"/>
            <w:vAlign w:val="center"/>
          </w:tcPr>
          <w:p w14:paraId="49E28588">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p>
        </w:tc>
        <w:tc>
          <w:tcPr>
            <w:tcW w:w="2257" w:type="dxa"/>
            <w:gridSpan w:val="2"/>
            <w:noWrap w:val="0"/>
            <w:vAlign w:val="top"/>
          </w:tcPr>
          <w:p w14:paraId="0C1276B6">
            <w:pPr>
              <w:pStyle w:val="42"/>
              <w:spacing w:before="56" w:line="345" w:lineRule="auto"/>
              <w:ind w:right="102" w:rightChars="0"/>
              <w:rPr>
                <w:rFonts w:hint="eastAsia" w:ascii="宋体" w:hAnsi="宋体" w:eastAsia="宋体" w:cs="宋体"/>
                <w:color w:val="000000"/>
                <w:kern w:val="2"/>
                <w:sz w:val="24"/>
                <w:szCs w:val="24"/>
                <w:highlight w:val="none"/>
                <w:lang w:val="en-US" w:eastAsia="zh-CN" w:bidi="ar-SA"/>
              </w:rPr>
            </w:pPr>
          </w:p>
          <w:p w14:paraId="25DC0CA4">
            <w:pPr>
              <w:pStyle w:val="42"/>
              <w:spacing w:before="56" w:line="345" w:lineRule="auto"/>
              <w:ind w:right="102" w:rightChars="0" w:firstLine="480" w:firstLineChars="2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采购程序</w:t>
            </w:r>
          </w:p>
        </w:tc>
        <w:tc>
          <w:tcPr>
            <w:tcW w:w="7261" w:type="dxa"/>
            <w:noWrap w:val="0"/>
            <w:vAlign w:val="top"/>
          </w:tcPr>
          <w:p w14:paraId="613653B2">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 xml:space="preserve">电子 CA 进行网上签到 </w:t>
            </w:r>
          </w:p>
          <w:p w14:paraId="1623F83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 xml:space="preserve">电子 CA 对网上投标文件进行解密 </w:t>
            </w:r>
          </w:p>
          <w:p w14:paraId="6FA5368C">
            <w:pPr>
              <w:keepNext w:val="0"/>
              <w:keepLines w:val="0"/>
              <w:widowControl/>
              <w:suppressLineNumbers w:val="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3.</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电子 CA 查看开标记录表</w:t>
            </w:r>
          </w:p>
        </w:tc>
      </w:tr>
      <w:tr w14:paraId="6C28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63" w:type="dxa"/>
            <w:noWrap w:val="0"/>
            <w:vAlign w:val="center"/>
          </w:tcPr>
          <w:p w14:paraId="6F35EC28">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p>
        </w:tc>
        <w:tc>
          <w:tcPr>
            <w:tcW w:w="2257" w:type="dxa"/>
            <w:gridSpan w:val="2"/>
            <w:noWrap w:val="0"/>
            <w:vAlign w:val="center"/>
          </w:tcPr>
          <w:p w14:paraId="062F5604">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p>
          <w:p w14:paraId="158E7A32">
            <w:pPr>
              <w:keepNext w:val="0"/>
              <w:keepLines w:val="0"/>
              <w:widowControl/>
              <w:suppressLineNumbers w:val="0"/>
              <w:ind w:firstLine="480" w:firstLineChars="200"/>
              <w:jc w:val="center"/>
              <w:rPr>
                <w:rFonts w:hint="eastAsia" w:ascii="宋体" w:hAnsi="宋体" w:eastAsia="宋体" w:cs="宋体"/>
                <w:color w:val="000000"/>
                <w:kern w:val="0"/>
                <w:sz w:val="24"/>
                <w:szCs w:val="24"/>
                <w:highlight w:val="none"/>
                <w:lang w:val="en-US" w:eastAsia="zh-CN" w:bidi="ar"/>
              </w:rPr>
            </w:pPr>
          </w:p>
          <w:p w14:paraId="3F33245F">
            <w:pPr>
              <w:keepNext w:val="0"/>
              <w:keepLines w:val="0"/>
              <w:widowControl/>
              <w:suppressLineNumbers w:val="0"/>
              <w:ind w:firstLine="480" w:firstLineChars="200"/>
              <w:jc w:val="center"/>
              <w:rPr>
                <w:rFonts w:hint="eastAsia" w:ascii="宋体" w:hAnsi="宋体" w:cs="宋体"/>
                <w:color w:val="000000"/>
                <w:kern w:val="0"/>
                <w:sz w:val="24"/>
                <w:szCs w:val="24"/>
                <w:highlight w:val="none"/>
                <w:lang w:val="en-US" w:eastAsia="zh-CN" w:bidi="ar"/>
              </w:rPr>
            </w:pPr>
          </w:p>
          <w:p w14:paraId="3CBF9C89">
            <w:pPr>
              <w:keepNext w:val="0"/>
              <w:keepLines w:val="0"/>
              <w:widowControl/>
              <w:suppressLineNumbers w:val="0"/>
              <w:ind w:firstLine="480" w:firstLineChars="200"/>
              <w:jc w:val="center"/>
              <w:rPr>
                <w:rFonts w:hint="eastAsia" w:ascii="宋体" w:hAnsi="宋体" w:cs="宋体"/>
                <w:color w:val="000000"/>
                <w:kern w:val="0"/>
                <w:sz w:val="24"/>
                <w:szCs w:val="24"/>
                <w:highlight w:val="none"/>
                <w:lang w:val="en-US" w:eastAsia="zh-CN" w:bidi="ar"/>
              </w:rPr>
            </w:pPr>
          </w:p>
          <w:p w14:paraId="259F01AE">
            <w:pPr>
              <w:keepNext w:val="0"/>
              <w:keepLines w:val="0"/>
              <w:widowControl/>
              <w:suppressLineNumbers w:val="0"/>
              <w:ind w:firstLine="480" w:firstLineChars="200"/>
              <w:jc w:val="center"/>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预付款</w:t>
            </w:r>
          </w:p>
          <w:p w14:paraId="3B1E8EEE">
            <w:pPr>
              <w:keepNext w:val="0"/>
              <w:keepLines w:val="0"/>
              <w:widowControl/>
              <w:suppressLineNumbers w:val="0"/>
              <w:ind w:firstLine="480" w:firstLineChars="200"/>
              <w:jc w:val="center"/>
              <w:rPr>
                <w:rFonts w:hint="eastAsia" w:ascii="宋体" w:hAnsi="宋体" w:eastAsia="宋体" w:cs="宋体"/>
                <w:color w:val="000000"/>
                <w:kern w:val="0"/>
                <w:sz w:val="24"/>
                <w:szCs w:val="24"/>
                <w:highlight w:val="none"/>
                <w:lang w:val="en-US" w:eastAsia="zh-CN" w:bidi="ar"/>
              </w:rPr>
            </w:pPr>
          </w:p>
          <w:p w14:paraId="305AB30D">
            <w:pPr>
              <w:keepNext w:val="0"/>
              <w:keepLines w:val="0"/>
              <w:widowControl/>
              <w:suppressLineNumbers w:val="0"/>
              <w:jc w:val="center"/>
              <w:rPr>
                <w:rFonts w:hint="eastAsia" w:ascii="宋体" w:hAnsi="宋体" w:eastAsia="宋体" w:cs="宋体"/>
                <w:color w:val="000000"/>
                <w:kern w:val="2"/>
                <w:sz w:val="24"/>
                <w:szCs w:val="24"/>
                <w:highlight w:val="none"/>
                <w:lang w:val="en-US" w:eastAsia="zh-CN" w:bidi="ar-SA"/>
              </w:rPr>
            </w:pPr>
          </w:p>
        </w:tc>
        <w:tc>
          <w:tcPr>
            <w:tcW w:w="7261" w:type="dxa"/>
            <w:noWrap w:val="0"/>
            <w:vAlign w:val="top"/>
          </w:tcPr>
          <w:p w14:paraId="43E04307">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预付款金额：</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w:t>
            </w:r>
          </w:p>
          <w:p w14:paraId="10EFCB24">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是否要求中标单位提交电子预付款保函：（是□、否☑）</w:t>
            </w:r>
          </w:p>
          <w:p w14:paraId="2DD61ABE">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电子预付款保函担保金额：等同预付款金额。</w:t>
            </w:r>
          </w:p>
          <w:p w14:paraId="71EC9DE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电子预付款保函开具：请通过商丘市公共资源交易中心电子保函平台全程网上办理，实现保函信息与项目关联绑定、自动验真。具体操作参照商丘市公共资源交易中心2020年9月30日发布的《关于推行电子预付款保函和履约保函的公告》</w:t>
            </w:r>
          </w:p>
          <w:p w14:paraId="6303ADCB">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提交电子预付款保函时间：合同签订生效后</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日历日。</w:t>
            </w:r>
          </w:p>
          <w:p w14:paraId="79058F2D">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预付款支付时间：合同签订生效或提交电子预付款保函且具备实施条件后</w:t>
            </w:r>
            <w:r>
              <w:rPr>
                <w:rFonts w:hint="eastAsia" w:ascii="宋体" w:hAnsi="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个工作日内。</w:t>
            </w:r>
          </w:p>
        </w:tc>
      </w:tr>
      <w:tr w14:paraId="1A14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3" w:type="dxa"/>
            <w:noWrap w:val="0"/>
            <w:vAlign w:val="center"/>
          </w:tcPr>
          <w:p w14:paraId="08C1BC84">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w:t>
            </w:r>
          </w:p>
        </w:tc>
        <w:tc>
          <w:tcPr>
            <w:tcW w:w="2257" w:type="dxa"/>
            <w:gridSpan w:val="2"/>
            <w:noWrap w:val="0"/>
            <w:vAlign w:val="top"/>
          </w:tcPr>
          <w:p w14:paraId="424F9653">
            <w:pPr>
              <w:keepNext w:val="0"/>
              <w:keepLines w:val="0"/>
              <w:widowControl/>
              <w:suppressLineNumbers w:val="0"/>
              <w:ind w:firstLine="480" w:firstLineChars="200"/>
              <w:jc w:val="both"/>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付款条件</w:t>
            </w:r>
          </w:p>
        </w:tc>
        <w:tc>
          <w:tcPr>
            <w:tcW w:w="7261" w:type="dxa"/>
            <w:noWrap w:val="0"/>
            <w:vAlign w:val="top"/>
          </w:tcPr>
          <w:p w14:paraId="10484166">
            <w:pPr>
              <w:keepNext w:val="0"/>
              <w:keepLines w:val="0"/>
              <w:widowControl/>
              <w:suppressLineNumbers w:val="0"/>
              <w:jc w:val="both"/>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符合国家现有法律法规，具体以签订合同为准。</w:t>
            </w:r>
          </w:p>
        </w:tc>
      </w:tr>
      <w:tr w14:paraId="49EF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63" w:type="dxa"/>
            <w:noWrap w:val="0"/>
            <w:vAlign w:val="center"/>
          </w:tcPr>
          <w:p w14:paraId="49326FF9">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w:t>
            </w:r>
          </w:p>
        </w:tc>
        <w:tc>
          <w:tcPr>
            <w:tcW w:w="2257" w:type="dxa"/>
            <w:gridSpan w:val="2"/>
            <w:noWrap w:val="0"/>
            <w:vAlign w:val="top"/>
          </w:tcPr>
          <w:p w14:paraId="0A94738A">
            <w:pPr>
              <w:pStyle w:val="42"/>
              <w:spacing w:before="56" w:line="345" w:lineRule="auto"/>
              <w:ind w:right="102" w:right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合同融资</w:t>
            </w:r>
          </w:p>
        </w:tc>
        <w:tc>
          <w:tcPr>
            <w:tcW w:w="7261" w:type="dxa"/>
            <w:noWrap w:val="0"/>
            <w:vAlign w:val="top"/>
          </w:tcPr>
          <w:p w14:paraId="419C004C">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严格按照豫财办[2020]33 号河南省财政厅关于印发深入推进政府采购合同融资工作实施方案的通知执行(格式见附件)</w:t>
            </w:r>
          </w:p>
        </w:tc>
      </w:tr>
      <w:tr w14:paraId="7DE4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481" w:type="dxa"/>
            <w:gridSpan w:val="4"/>
            <w:noWrap w:val="0"/>
            <w:vAlign w:val="center"/>
          </w:tcPr>
          <w:p w14:paraId="341213DF">
            <w:pPr>
              <w:topLinePunct/>
              <w:autoSpaceDN w:val="0"/>
              <w:adjustRightInd w:val="0"/>
              <w:snapToGrid w:val="0"/>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需要补充的其他内容</w:t>
            </w:r>
          </w:p>
        </w:tc>
      </w:tr>
      <w:tr w14:paraId="3383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801" w:type="dxa"/>
            <w:gridSpan w:val="2"/>
            <w:noWrap w:val="0"/>
            <w:vAlign w:val="center"/>
          </w:tcPr>
          <w:p w14:paraId="694F91D0">
            <w:pPr>
              <w:topLinePunct/>
              <w:adjustRightInd w:val="0"/>
              <w:snapToGrid w:val="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8680" w:type="dxa"/>
            <w:gridSpan w:val="2"/>
            <w:noWrap w:val="0"/>
            <w:vAlign w:val="top"/>
          </w:tcPr>
          <w:p w14:paraId="1B54D33F">
            <w:pPr>
              <w:keepLines w:val="0"/>
              <w:pageBreakBefore w:val="0"/>
              <w:kinsoku/>
              <w:wordWrap/>
              <w:overflowPunct/>
              <w:topLinePunct w:val="0"/>
              <w:bidi w:val="0"/>
              <w:spacing w:line="360" w:lineRule="auto"/>
              <w:ind w:left="0" w:leftChars="0" w:firstLine="0" w:firstLineChars="0"/>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代理服务费：参照最新河南省招标投标协会关于印发《河南省招标代理服务收费指导意见》的通知，豫招协【</w:t>
            </w:r>
            <w:r>
              <w:rPr>
                <w:rFonts w:hint="eastAsia" w:ascii="宋体" w:hAnsi="宋体" w:eastAsia="宋体" w:cs="宋体"/>
                <w:kern w:val="2"/>
                <w:sz w:val="24"/>
                <w:szCs w:val="24"/>
                <w:highlight w:val="none"/>
                <w:lang w:val="en-US" w:eastAsia="zh-CN" w:bidi="ar-SA"/>
              </w:rPr>
              <w:t>2023】002 号文件收取，招标代理费由中标人支付。</w:t>
            </w:r>
          </w:p>
        </w:tc>
      </w:tr>
      <w:tr w14:paraId="55EE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1" w:type="dxa"/>
            <w:gridSpan w:val="2"/>
            <w:noWrap w:val="0"/>
            <w:vAlign w:val="center"/>
          </w:tcPr>
          <w:p w14:paraId="62C283F9">
            <w:pPr>
              <w:keepLines w:val="0"/>
              <w:pageBreakBefore w:val="0"/>
              <w:kinsoku/>
              <w:wordWrap/>
              <w:overflowPunct/>
              <w:topLinePunct w:val="0"/>
              <w:bidi w:val="0"/>
              <w:spacing w:line="360" w:lineRule="auto"/>
              <w:ind w:left="0" w:leftChars="0" w:firstLine="0" w:firstLineChars="0"/>
              <w:jc w:val="center"/>
              <w:outlineLvl w:val="9"/>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13</w:t>
            </w:r>
          </w:p>
        </w:tc>
        <w:tc>
          <w:tcPr>
            <w:tcW w:w="8680" w:type="dxa"/>
            <w:gridSpan w:val="2"/>
            <w:noWrap w:val="0"/>
            <w:vAlign w:val="top"/>
          </w:tcPr>
          <w:p w14:paraId="55A4503E">
            <w:pPr>
              <w:pStyle w:val="42"/>
              <w:spacing w:before="26"/>
              <w:ind w:left="2" w:leftChars="0"/>
              <w:jc w:val="left"/>
              <w:rPr>
                <w:rFonts w:hint="default" w:ascii="宋体" w:hAnsi="宋体" w:eastAsia="宋体" w:cs="宋体"/>
                <w:b w:val="0"/>
                <w:bCs w:val="0"/>
                <w:kern w:val="2"/>
                <w:sz w:val="24"/>
                <w:szCs w:val="24"/>
                <w:highlight w:val="none"/>
                <w:lang w:val="en-US" w:eastAsia="zh-CN" w:bidi="zh-CN"/>
              </w:rPr>
            </w:pPr>
            <w:r>
              <w:rPr>
                <w:rFonts w:hint="eastAsia" w:ascii="宋体" w:hAnsi="宋体" w:eastAsia="宋体" w:cs="宋体"/>
                <w:kern w:val="2"/>
                <w:sz w:val="24"/>
                <w:szCs w:val="24"/>
                <w:highlight w:val="none"/>
                <w:lang w:val="en-US" w:eastAsia="zh-CN" w:bidi="ar-SA"/>
              </w:rPr>
              <w:t>本项目所属行业：</w:t>
            </w:r>
            <w:r>
              <w:rPr>
                <w:rFonts w:hint="eastAsia" w:cs="宋体"/>
                <w:kern w:val="2"/>
                <w:sz w:val="24"/>
                <w:szCs w:val="24"/>
                <w:highlight w:val="none"/>
                <w:lang w:val="en-US" w:eastAsia="zh-CN" w:bidi="ar-SA"/>
              </w:rPr>
              <w:t>工业</w:t>
            </w:r>
          </w:p>
        </w:tc>
      </w:tr>
      <w:tr w14:paraId="2653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1" w:type="dxa"/>
            <w:gridSpan w:val="2"/>
            <w:noWrap w:val="0"/>
            <w:vAlign w:val="center"/>
          </w:tcPr>
          <w:p w14:paraId="682E7202">
            <w:pPr>
              <w:keepLines w:val="0"/>
              <w:pageBreakBefore w:val="0"/>
              <w:kinsoku/>
              <w:wordWrap/>
              <w:overflowPunct/>
              <w:topLinePunct w:val="0"/>
              <w:bidi w:val="0"/>
              <w:spacing w:line="360" w:lineRule="auto"/>
              <w:ind w:left="0" w:leftChars="0" w:firstLine="0" w:firstLineChars="0"/>
              <w:jc w:val="center"/>
              <w:outlineLvl w:val="9"/>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14</w:t>
            </w:r>
          </w:p>
        </w:tc>
        <w:tc>
          <w:tcPr>
            <w:tcW w:w="8680" w:type="dxa"/>
            <w:gridSpan w:val="2"/>
            <w:noWrap w:val="0"/>
            <w:vAlign w:val="top"/>
          </w:tcPr>
          <w:p w14:paraId="17F5A9C8">
            <w:pPr>
              <w:pStyle w:val="42"/>
              <w:spacing w:before="26"/>
              <w:ind w:left="2" w:leftChars="0"/>
              <w:jc w:val="left"/>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cs="宋体"/>
                <w:color w:val="000000" w:themeColor="text1"/>
                <w:kern w:val="2"/>
                <w:sz w:val="24"/>
                <w:szCs w:val="24"/>
                <w:highlight w:val="none"/>
                <w:lang w:val="en-US" w:eastAsia="zh-CN" w:bidi="ar-SA"/>
                <w14:textFill>
                  <w14:solidFill>
                    <w14:schemeClr w14:val="tx1"/>
                  </w14:solidFill>
                </w14:textFill>
              </w:rPr>
              <w:t>是否专门面向中小企业采购：否</w:t>
            </w:r>
          </w:p>
        </w:tc>
      </w:tr>
      <w:tr w14:paraId="07C9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1" w:type="dxa"/>
            <w:gridSpan w:val="4"/>
            <w:noWrap w:val="0"/>
            <w:vAlign w:val="center"/>
          </w:tcPr>
          <w:p w14:paraId="7D6427C5">
            <w:pPr>
              <w:pStyle w:val="42"/>
              <w:spacing w:before="26"/>
              <w:ind w:left="2" w:leftChars="0"/>
              <w:rPr>
                <w:rFonts w:hint="eastAsia" w:ascii="宋体" w:hAnsi="宋体" w:eastAsia="宋体" w:cs="宋体"/>
                <w:b w:val="0"/>
                <w:bCs w:val="0"/>
                <w:kern w:val="2"/>
                <w:sz w:val="24"/>
                <w:szCs w:val="24"/>
                <w:highlight w:val="none"/>
                <w:lang w:val="en-US" w:eastAsia="zh-CN" w:bidi="zh-CN"/>
              </w:rPr>
            </w:pP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应注意事项</w:t>
            </w:r>
          </w:p>
          <w:p w14:paraId="704527FD">
            <w:pPr>
              <w:pStyle w:val="42"/>
              <w:spacing w:before="26"/>
              <w:ind w:left="2" w:leftChars="0"/>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1、</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（供应商）在开标结束后，应实时保持交易系统处于登录状态，确保能及时收到评标评审专家的澄清、说明或者补正的要求。</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（供应商）应保持页面都实时处于登录状态。</w:t>
            </w:r>
          </w:p>
          <w:p w14:paraId="2CF5D1BC">
            <w:pPr>
              <w:pStyle w:val="42"/>
              <w:spacing w:before="26"/>
              <w:ind w:left="2" w:leftChars="0"/>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因网络安全的需要，登录后长时间不操作将自动退出登录状态，建议</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5分钟刷新一次。</w:t>
            </w:r>
          </w:p>
          <w:p w14:paraId="176397D0">
            <w:pPr>
              <w:pStyle w:val="42"/>
              <w:spacing w:before="26"/>
              <w:ind w:left="2" w:leftChars="0"/>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2、无论是澄清、说明或者补正需要上传交易系统的文件，必须是PDF格式并且加盖有</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（供应商）电子签章。如果文件是用word编辑的，</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（供应商）可点击文件左上角文件选择“输出为PDF”，将word文件转变为PDF格式后加盖电子签章上传。</w:t>
            </w:r>
          </w:p>
          <w:p w14:paraId="2B643A11">
            <w:pPr>
              <w:pStyle w:val="42"/>
              <w:spacing w:before="26"/>
              <w:ind w:left="2" w:leftChars="0"/>
              <w:rPr>
                <w:rFonts w:hint="eastAsia" w:ascii="宋体" w:hAnsi="宋体" w:eastAsia="宋体" w:cs="宋体"/>
                <w:b w:val="0"/>
                <w:bCs w:val="0"/>
                <w:kern w:val="2"/>
                <w:sz w:val="24"/>
                <w:szCs w:val="24"/>
                <w:highlight w:val="none"/>
                <w:lang w:val="en-US" w:eastAsia="zh-CN" w:bidi="zh-CN"/>
              </w:rPr>
            </w:pPr>
            <w:r>
              <w:rPr>
                <w:rFonts w:hint="eastAsia" w:ascii="宋体" w:hAnsi="宋体" w:eastAsia="宋体" w:cs="宋体"/>
                <w:b w:val="0"/>
                <w:bCs w:val="0"/>
                <w:kern w:val="2"/>
                <w:sz w:val="24"/>
                <w:szCs w:val="24"/>
                <w:highlight w:val="none"/>
                <w:lang w:val="en-US" w:eastAsia="zh-CN" w:bidi="zh-CN"/>
              </w:rPr>
              <w:t>3、评审专家对</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进行澄清、说明或者补正的要求均有时间限制，并且在</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（供应商）澄清、说明或者补正页面有倒计时提示，</w:t>
            </w:r>
            <w:r>
              <w:rPr>
                <w:rFonts w:hint="eastAsia" w:cs="宋体"/>
                <w:b w:val="0"/>
                <w:bCs w:val="0"/>
                <w:kern w:val="2"/>
                <w:sz w:val="24"/>
                <w:szCs w:val="24"/>
                <w:highlight w:val="none"/>
                <w:lang w:val="en-US" w:eastAsia="zh-CN" w:bidi="zh-CN"/>
              </w:rPr>
              <w:t>供应商</w:t>
            </w:r>
            <w:r>
              <w:rPr>
                <w:rFonts w:hint="eastAsia" w:ascii="宋体" w:hAnsi="宋体" w:eastAsia="宋体" w:cs="宋体"/>
                <w:b w:val="0"/>
                <w:bCs w:val="0"/>
                <w:kern w:val="2"/>
                <w:sz w:val="24"/>
                <w:szCs w:val="24"/>
                <w:highlight w:val="none"/>
                <w:lang w:val="en-US" w:eastAsia="zh-CN" w:bidi="zh-CN"/>
              </w:rPr>
              <w:t>（供应商）应在评标（评审）专家规定时间内完成所有操作。</w:t>
            </w:r>
          </w:p>
        </w:tc>
      </w:tr>
      <w:tr w14:paraId="271A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1" w:type="dxa"/>
            <w:gridSpan w:val="4"/>
            <w:noWrap w:val="0"/>
            <w:vAlign w:val="center"/>
          </w:tcPr>
          <w:p w14:paraId="4DCCA89D">
            <w:pPr>
              <w:keepNext w:val="0"/>
              <w:keepLines w:val="0"/>
              <w:pageBreakBefore w:val="0"/>
              <w:widowControl w:val="0"/>
              <w:kinsoku/>
              <w:wordWrap/>
              <w:overflowPunct/>
              <w:topLinePunct w:val="0"/>
              <w:autoSpaceDE/>
              <w:autoSpaceDN/>
              <w:bidi w:val="0"/>
              <w:adjustRightInd/>
              <w:snapToGrid/>
              <w:spacing w:line="360" w:lineRule="auto"/>
              <w:ind w:right="113"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投标文件递交</w:t>
            </w:r>
          </w:p>
          <w:p w14:paraId="55E94FDE">
            <w:pPr>
              <w:keepNext w:val="0"/>
              <w:keepLines w:val="0"/>
              <w:pageBreakBefore w:val="0"/>
              <w:widowControl w:val="0"/>
              <w:kinsoku/>
              <w:wordWrap/>
              <w:overflowPunct/>
              <w:topLinePunct w:val="0"/>
              <w:autoSpaceDE/>
              <w:autoSpaceDN/>
              <w:bidi w:val="0"/>
              <w:adjustRightInd/>
              <w:snapToGrid/>
              <w:spacing w:line="360" w:lineRule="auto"/>
              <w:ind w:right="113"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在投标文件递交截止时间前，使用CA锁登陆后，将已固化加密的电子投标文件通过网上递交的方式在投标专区自行递交，并确保递交成功（为保证文件正常递交，请</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错峰上传，详细操作可参阅办事服务-操作指南-投标阶段）。</w:t>
            </w:r>
          </w:p>
          <w:p w14:paraId="3D0FF227">
            <w:pPr>
              <w:keepNext w:val="0"/>
              <w:keepLines w:val="0"/>
              <w:pageBreakBefore w:val="0"/>
              <w:widowControl w:val="0"/>
              <w:kinsoku/>
              <w:wordWrap/>
              <w:overflowPunct/>
              <w:topLinePunct w:val="0"/>
              <w:autoSpaceDE/>
              <w:autoSpaceDN/>
              <w:bidi w:val="0"/>
              <w:adjustRightInd/>
              <w:snapToGrid/>
              <w:spacing w:line="360" w:lineRule="auto"/>
              <w:ind w:right="113"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GEF格式电子投标文件的制作具体参考参阅商丘市公共资源交易中心网站下载专区投标文件生成器的操作说明。</w:t>
            </w:r>
          </w:p>
          <w:p w14:paraId="7B23BAB7">
            <w:pPr>
              <w:keepNext w:val="0"/>
              <w:keepLines w:val="0"/>
              <w:pageBreakBefore w:val="0"/>
              <w:widowControl w:val="0"/>
              <w:kinsoku/>
              <w:wordWrap/>
              <w:overflowPunct/>
              <w:topLinePunct w:val="0"/>
              <w:autoSpaceDE/>
              <w:autoSpaceDN/>
              <w:bidi w:val="0"/>
              <w:adjustRightInd/>
              <w:snapToGrid/>
              <w:spacing w:line="360" w:lineRule="auto"/>
              <w:ind w:right="113"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采用电子评审时以电子招投标文件为准。</w:t>
            </w:r>
          </w:p>
          <w:p w14:paraId="2A4836E0">
            <w:pPr>
              <w:bidi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bidi="ar-SA"/>
              </w:rPr>
              <w:t>为更好的服务各方主体，商丘市公共资源交易中心对招标人、</w:t>
            </w:r>
            <w:r>
              <w:rPr>
                <w:rFonts w:hint="eastAsia" w:ascii="宋体" w:hAnsi="宋体" w:cs="宋体"/>
                <w:b/>
                <w:bCs/>
                <w:color w:val="auto"/>
                <w:kern w:val="2"/>
                <w:sz w:val="24"/>
                <w:szCs w:val="24"/>
                <w:highlight w:val="none"/>
                <w:lang w:val="en-US" w:eastAsia="zh-CN" w:bidi="ar-SA"/>
              </w:rPr>
              <w:t>供应商</w:t>
            </w:r>
            <w:r>
              <w:rPr>
                <w:rFonts w:hint="eastAsia" w:ascii="宋体" w:hAnsi="宋体" w:eastAsia="宋体" w:cs="宋体"/>
                <w:b/>
                <w:bCs/>
                <w:color w:val="auto"/>
                <w:kern w:val="2"/>
                <w:sz w:val="24"/>
                <w:szCs w:val="24"/>
                <w:highlight w:val="none"/>
                <w:lang w:val="en-US" w:bidi="ar-SA"/>
              </w:rPr>
              <w:t>工具箱进行优化</w:t>
            </w:r>
            <w:r>
              <w:rPr>
                <w:rFonts w:hint="eastAsia" w:ascii="宋体" w:hAnsi="宋体" w:eastAsia="宋体" w:cs="宋体"/>
                <w:b/>
                <w:bCs/>
                <w:color w:val="auto"/>
                <w:kern w:val="2"/>
                <w:sz w:val="24"/>
                <w:szCs w:val="24"/>
                <w:highlight w:val="none"/>
                <w:lang w:val="en-US" w:eastAsia="zh-CN" w:bidi="ar-SA"/>
              </w:rPr>
              <w:t>更新</w:t>
            </w:r>
            <w:r>
              <w:rPr>
                <w:rFonts w:hint="eastAsia" w:ascii="宋体" w:hAnsi="宋体" w:eastAsia="宋体" w:cs="宋体"/>
                <w:b/>
                <w:bCs/>
                <w:color w:val="auto"/>
                <w:kern w:val="2"/>
                <w:sz w:val="24"/>
                <w:szCs w:val="24"/>
                <w:highlight w:val="none"/>
                <w:lang w:val="en-US" w:bidi="ar-SA"/>
              </w:rPr>
              <w:t>。具体内容详见商丘市公共资源交易中心发布的</w:t>
            </w:r>
            <w:r>
              <w:rPr>
                <w:rFonts w:hint="eastAsia" w:ascii="宋体" w:hAnsi="宋体" w:eastAsia="宋体" w:cs="宋体"/>
                <w:b/>
                <w:bCs/>
                <w:color w:val="auto"/>
                <w:kern w:val="2"/>
                <w:sz w:val="24"/>
                <w:szCs w:val="24"/>
                <w:highlight w:val="none"/>
                <w:lang w:val="en-US" w:eastAsia="zh-CN" w:bidi="ar-SA"/>
              </w:rPr>
              <w:t>最新一期</w:t>
            </w:r>
            <w:r>
              <w:rPr>
                <w:rFonts w:hint="eastAsia" w:ascii="宋体" w:hAnsi="宋体" w:eastAsia="宋体" w:cs="宋体"/>
                <w:b/>
                <w:bCs/>
                <w:color w:val="auto"/>
                <w:kern w:val="2"/>
                <w:sz w:val="24"/>
                <w:szCs w:val="24"/>
                <w:highlight w:val="none"/>
                <w:lang w:val="en-US" w:bidi="ar-SA"/>
              </w:rPr>
              <w:t>《商丘电子招标人工具箱》</w:t>
            </w:r>
            <w:r>
              <w:rPr>
                <w:rFonts w:hint="eastAsia" w:ascii="宋体" w:hAnsi="宋体" w:eastAsia="宋体" w:cs="宋体"/>
                <w:b/>
                <w:bCs/>
                <w:color w:val="auto"/>
                <w:kern w:val="2"/>
                <w:sz w:val="24"/>
                <w:szCs w:val="24"/>
                <w:highlight w:val="none"/>
                <w:lang w:val="en-US" w:eastAsia="zh-CN" w:bidi="ar-SA"/>
              </w:rPr>
              <w:t>和《商丘电子</w:t>
            </w:r>
            <w:r>
              <w:rPr>
                <w:rFonts w:hint="eastAsia" w:ascii="宋体" w:hAnsi="宋体" w:cs="宋体"/>
                <w:b/>
                <w:bCs/>
                <w:color w:val="auto"/>
                <w:kern w:val="2"/>
                <w:sz w:val="24"/>
                <w:szCs w:val="24"/>
                <w:highlight w:val="none"/>
                <w:lang w:val="en-US" w:eastAsia="zh-CN" w:bidi="ar-SA"/>
              </w:rPr>
              <w:t>供应商</w:t>
            </w:r>
            <w:r>
              <w:rPr>
                <w:rFonts w:hint="eastAsia" w:ascii="宋体" w:hAnsi="宋体" w:eastAsia="宋体" w:cs="宋体"/>
                <w:b/>
                <w:bCs/>
                <w:color w:val="auto"/>
                <w:kern w:val="2"/>
                <w:sz w:val="24"/>
                <w:szCs w:val="24"/>
                <w:highlight w:val="none"/>
                <w:lang w:val="en-US" w:eastAsia="zh-CN" w:bidi="ar-SA"/>
              </w:rPr>
              <w:t>工具箱》。</w:t>
            </w:r>
          </w:p>
        </w:tc>
      </w:tr>
      <w:tr w14:paraId="0DCB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1" w:type="dxa"/>
            <w:gridSpan w:val="4"/>
          </w:tcPr>
          <w:p w14:paraId="79560788">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提示：</w:t>
            </w:r>
          </w:p>
          <w:p w14:paraId="2D880696">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left"/>
              <w:rPr>
                <w:rFonts w:hint="eastAsia" w:ascii="宋体" w:hAnsi="宋体" w:eastAsia="宋体" w:cs="宋体"/>
                <w:i w:val="0"/>
                <w:color w:val="auto"/>
                <w:spacing w:val="0"/>
                <w:sz w:val="24"/>
                <w:szCs w:val="24"/>
                <w:highlight w:val="none"/>
                <w:shd w:val="clear" w:color="auto" w:fill="FFFFFF"/>
              </w:rPr>
            </w:pPr>
            <w:r>
              <w:rPr>
                <w:rFonts w:hint="eastAsia" w:ascii="宋体" w:hAnsi="宋体" w:eastAsia="宋体" w:cs="宋体"/>
                <w:i w:val="0"/>
                <w:color w:val="auto"/>
                <w:spacing w:val="0"/>
                <w:sz w:val="24"/>
                <w:szCs w:val="24"/>
                <w:highlight w:val="none"/>
                <w:shd w:val="clear" w:color="auto" w:fill="FFFFFF"/>
              </w:rPr>
              <w:t>根据《</w:t>
            </w:r>
            <w:r>
              <w:rPr>
                <w:rFonts w:hint="eastAsia" w:ascii="宋体" w:hAnsi="宋体" w:eastAsia="宋体" w:cs="宋体"/>
                <w:color w:val="auto"/>
                <w:sz w:val="24"/>
                <w:szCs w:val="24"/>
                <w:highlight w:val="none"/>
                <w:u w:val="none"/>
                <w:shd w:val="clear" w:color="auto" w:fill="FFFFFF"/>
              </w:rPr>
              <w:fldChar w:fldCharType="begin"/>
            </w:r>
            <w:r>
              <w:rPr>
                <w:rFonts w:hint="eastAsia" w:ascii="宋体" w:hAnsi="宋体" w:eastAsia="宋体" w:cs="宋体"/>
                <w:color w:val="auto"/>
                <w:sz w:val="24"/>
                <w:szCs w:val="24"/>
                <w:highlight w:val="none"/>
                <w:u w:val="none"/>
                <w:shd w:val="clear" w:color="auto" w:fill="FFFFFF"/>
              </w:rPr>
              <w:instrText xml:space="preserve"> HYPERLINK "http://www.waizi.org.cn/doc/63857.html" \o "国办函〔2019〕41号《国务院办公厅转发国家发展改革委关于深化公共资源交易平台整合共享指导意见的通知》" </w:instrText>
            </w:r>
            <w:r>
              <w:rPr>
                <w:rFonts w:hint="eastAsia" w:ascii="宋体" w:hAnsi="宋体" w:eastAsia="宋体" w:cs="宋体"/>
                <w:color w:val="auto"/>
                <w:sz w:val="24"/>
                <w:szCs w:val="24"/>
                <w:highlight w:val="none"/>
                <w:u w:val="none"/>
                <w:shd w:val="clear" w:color="auto" w:fill="FFFFFF"/>
              </w:rPr>
              <w:fldChar w:fldCharType="separate"/>
            </w:r>
            <w:r>
              <w:rPr>
                <w:rStyle w:val="36"/>
                <w:rFonts w:hint="eastAsia" w:ascii="宋体" w:hAnsi="宋体" w:eastAsia="宋体" w:cs="宋体"/>
                <w:i w:val="0"/>
                <w:color w:val="auto"/>
                <w:spacing w:val="0"/>
                <w:sz w:val="24"/>
                <w:szCs w:val="24"/>
                <w:highlight w:val="none"/>
                <w:u w:val="none"/>
                <w:shd w:val="clear" w:color="auto" w:fill="FFFFFF"/>
              </w:rPr>
              <w:t>关于深化公共资源交易平台整合共享的指导意见</w:t>
            </w:r>
            <w:r>
              <w:rPr>
                <w:rFonts w:hint="eastAsia" w:ascii="宋体" w:hAnsi="宋体" w:eastAsia="宋体" w:cs="宋体"/>
                <w:color w:val="auto"/>
                <w:sz w:val="24"/>
                <w:szCs w:val="24"/>
                <w:highlight w:val="none"/>
                <w:u w:val="none"/>
                <w:shd w:val="clear" w:color="auto" w:fill="FFFFFF"/>
              </w:rPr>
              <w:fldChar w:fldCharType="end"/>
            </w:r>
            <w:r>
              <w:rPr>
                <w:rFonts w:hint="eastAsia" w:ascii="宋体" w:hAnsi="宋体" w:eastAsia="宋体" w:cs="宋体"/>
                <w:i w:val="0"/>
                <w:color w:val="auto"/>
                <w:spacing w:val="0"/>
                <w:sz w:val="24"/>
                <w:szCs w:val="24"/>
                <w:highlight w:val="none"/>
                <w:shd w:val="clear" w:color="auto" w:fill="FFFFFF"/>
              </w:rPr>
              <w:t>》（国办函【2019】41号）和《2019年全省公共资源管理工作要点》（豫公管办【2019】4号）要求，商丘市公共资源交易中心相继上线了全过程不见面交易的各项电子化交易功能，经过对系统各模块功能和效果进行全面测试和优化，目前不见面电子交易系统已具备正式运行条件。现定于2020年1月2日起全面运行不见面电子交易系统，逐步关闭四楼开标场所，启用二楼开标大厅。</w:t>
            </w:r>
          </w:p>
          <w:p w14:paraId="1BD1652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2" w:firstLineChars="200"/>
              <w:jc w:val="left"/>
              <w:rPr>
                <w:rFonts w:hint="eastAsia" w:ascii="宋体" w:hAnsi="宋体" w:eastAsia="宋体" w:cs="宋体"/>
                <w:b/>
                <w:bCs/>
                <w:i w:val="0"/>
                <w:color w:val="auto"/>
                <w:spacing w:val="0"/>
                <w:sz w:val="24"/>
                <w:szCs w:val="24"/>
                <w:highlight w:val="none"/>
                <w:shd w:val="clear" w:color="auto" w:fill="FFFFFF"/>
              </w:rPr>
            </w:pPr>
            <w:r>
              <w:rPr>
                <w:rFonts w:hint="eastAsia" w:ascii="宋体" w:hAnsi="宋体" w:eastAsia="宋体" w:cs="宋体"/>
                <w:b/>
                <w:bCs/>
                <w:i w:val="0"/>
                <w:color w:val="auto"/>
                <w:spacing w:val="0"/>
                <w:sz w:val="24"/>
                <w:szCs w:val="24"/>
                <w:highlight w:val="none"/>
                <w:shd w:val="clear" w:color="auto" w:fill="FFFFFF"/>
              </w:rPr>
              <w:t>本项目实行不见面开评标，</w:t>
            </w:r>
            <w:r>
              <w:rPr>
                <w:rFonts w:hint="eastAsia" w:ascii="宋体" w:hAnsi="宋体" w:cs="宋体"/>
                <w:b/>
                <w:bCs/>
                <w:i w:val="0"/>
                <w:color w:val="auto"/>
                <w:spacing w:val="0"/>
                <w:sz w:val="24"/>
                <w:szCs w:val="24"/>
                <w:highlight w:val="none"/>
                <w:shd w:val="clear" w:color="auto" w:fill="FFFFFF"/>
                <w:lang w:eastAsia="zh-CN"/>
              </w:rPr>
              <w:t>供应商</w:t>
            </w:r>
            <w:r>
              <w:rPr>
                <w:rFonts w:hint="eastAsia" w:ascii="宋体" w:hAnsi="宋体" w:eastAsia="宋体" w:cs="宋体"/>
                <w:b/>
                <w:bCs/>
                <w:i w:val="0"/>
                <w:color w:val="auto"/>
                <w:spacing w:val="0"/>
                <w:sz w:val="24"/>
                <w:szCs w:val="24"/>
                <w:highlight w:val="none"/>
                <w:shd w:val="clear" w:color="auto" w:fill="FFFFFF"/>
              </w:rPr>
              <w:t>不需要再到现场（需要现场演示或样品展示的除外），</w:t>
            </w:r>
            <w:r>
              <w:rPr>
                <w:rFonts w:hint="eastAsia" w:ascii="宋体" w:hAnsi="宋体" w:cs="宋体"/>
                <w:b/>
                <w:bCs/>
                <w:i w:val="0"/>
                <w:color w:val="auto"/>
                <w:spacing w:val="0"/>
                <w:sz w:val="24"/>
                <w:szCs w:val="24"/>
                <w:highlight w:val="none"/>
                <w:shd w:val="clear" w:color="auto" w:fill="FFFFFF"/>
                <w:lang w:eastAsia="zh-CN"/>
              </w:rPr>
              <w:t>供应商</w:t>
            </w:r>
            <w:r>
              <w:rPr>
                <w:rFonts w:hint="eastAsia" w:ascii="宋体" w:hAnsi="宋体" w:eastAsia="宋体" w:cs="宋体"/>
                <w:b/>
                <w:bCs/>
                <w:i w:val="0"/>
                <w:color w:val="auto"/>
                <w:spacing w:val="0"/>
                <w:sz w:val="24"/>
                <w:szCs w:val="24"/>
                <w:highlight w:val="none"/>
                <w:shd w:val="clear" w:color="auto" w:fill="FFFFFF"/>
              </w:rPr>
              <w:t>签到、投标文件线上解密、</w:t>
            </w:r>
            <w:r>
              <w:rPr>
                <w:rFonts w:hint="eastAsia" w:ascii="宋体" w:hAnsi="宋体" w:cs="宋体"/>
                <w:b/>
                <w:bCs/>
                <w:i w:val="0"/>
                <w:color w:val="auto"/>
                <w:spacing w:val="0"/>
                <w:sz w:val="24"/>
                <w:szCs w:val="24"/>
                <w:highlight w:val="none"/>
                <w:shd w:val="clear" w:color="auto" w:fill="FFFFFF"/>
                <w:lang w:eastAsia="zh-CN"/>
              </w:rPr>
              <w:t>供应商</w:t>
            </w:r>
            <w:r>
              <w:rPr>
                <w:rFonts w:hint="eastAsia" w:ascii="宋体" w:hAnsi="宋体" w:eastAsia="宋体" w:cs="宋体"/>
                <w:b/>
                <w:bCs/>
                <w:i w:val="0"/>
                <w:color w:val="auto"/>
                <w:spacing w:val="0"/>
                <w:sz w:val="24"/>
                <w:szCs w:val="24"/>
                <w:highlight w:val="none"/>
                <w:shd w:val="clear" w:color="auto" w:fill="FFFFFF"/>
              </w:rPr>
              <w:t>在开评标过程中应保持系统登录状态。</w:t>
            </w:r>
          </w:p>
          <w:p w14:paraId="6F71DE1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left"/>
              <w:rPr>
                <w:rFonts w:hint="eastAsia" w:ascii="宋体" w:hAnsi="宋体" w:eastAsia="宋体" w:cs="宋体"/>
                <w:i w:val="0"/>
                <w:color w:val="auto"/>
                <w:spacing w:val="0"/>
                <w:sz w:val="24"/>
                <w:szCs w:val="24"/>
                <w:highlight w:val="none"/>
                <w:shd w:val="clear" w:color="auto" w:fill="FFFFFF"/>
                <w:lang w:eastAsia="zh-CN"/>
              </w:rPr>
            </w:pPr>
            <w:r>
              <w:rPr>
                <w:rStyle w:val="31"/>
                <w:rFonts w:hint="eastAsia" w:ascii="宋体" w:hAnsi="宋体" w:eastAsia="宋体" w:cs="宋体"/>
                <w:i w:val="0"/>
                <w:color w:val="auto"/>
                <w:spacing w:val="0"/>
                <w:sz w:val="24"/>
                <w:szCs w:val="24"/>
                <w:highlight w:val="none"/>
                <w:shd w:val="clear" w:color="auto" w:fill="FFFFFF"/>
              </w:rPr>
              <w:t>市场主体诚信库2020年1月2日起正式启用</w:t>
            </w:r>
            <w:r>
              <w:rPr>
                <w:rFonts w:hint="eastAsia" w:ascii="宋体" w:hAnsi="宋体" w:eastAsia="宋体" w:cs="宋体"/>
                <w:i w:val="0"/>
                <w:color w:val="auto"/>
                <w:spacing w:val="0"/>
                <w:sz w:val="24"/>
                <w:szCs w:val="24"/>
                <w:highlight w:val="none"/>
                <w:shd w:val="clear" w:color="auto" w:fill="FFFFFF"/>
              </w:rPr>
              <w:t>，</w:t>
            </w:r>
            <w:r>
              <w:rPr>
                <w:rFonts w:hint="eastAsia" w:ascii="宋体" w:hAnsi="宋体" w:cs="宋体"/>
                <w:i w:val="0"/>
                <w:color w:val="auto"/>
                <w:spacing w:val="0"/>
                <w:sz w:val="24"/>
                <w:szCs w:val="24"/>
                <w:highlight w:val="none"/>
                <w:shd w:val="clear" w:color="auto" w:fill="FFFFFF"/>
                <w:lang w:val="en-US" w:eastAsia="zh-CN"/>
              </w:rPr>
              <w:t>按照招标</w:t>
            </w:r>
            <w:r>
              <w:rPr>
                <w:rFonts w:hint="eastAsia" w:ascii="宋体" w:hAnsi="宋体" w:eastAsia="宋体" w:cs="宋体"/>
                <w:i w:val="0"/>
                <w:color w:val="auto"/>
                <w:spacing w:val="0"/>
                <w:sz w:val="24"/>
                <w:szCs w:val="24"/>
                <w:highlight w:val="none"/>
                <w:shd w:val="clear" w:color="auto" w:fill="FFFFFF"/>
              </w:rPr>
              <w:t>文件要求</w:t>
            </w:r>
            <w:r>
              <w:rPr>
                <w:rFonts w:hint="eastAsia" w:ascii="宋体" w:hAnsi="宋体" w:cs="宋体"/>
                <w:i w:val="0"/>
                <w:color w:val="auto"/>
                <w:spacing w:val="0"/>
                <w:sz w:val="24"/>
                <w:szCs w:val="24"/>
                <w:highlight w:val="none"/>
                <w:shd w:val="clear" w:color="auto" w:fill="FFFFFF"/>
                <w:lang w:eastAsia="zh-CN"/>
              </w:rPr>
              <w:t>供应商</w:t>
            </w:r>
            <w:r>
              <w:rPr>
                <w:rFonts w:hint="eastAsia" w:ascii="宋体" w:hAnsi="宋体" w:eastAsia="宋体" w:cs="宋体"/>
                <w:i w:val="0"/>
                <w:color w:val="auto"/>
                <w:spacing w:val="0"/>
                <w:sz w:val="24"/>
                <w:szCs w:val="24"/>
                <w:highlight w:val="none"/>
                <w:shd w:val="clear" w:color="auto" w:fill="FFFFFF"/>
              </w:rPr>
              <w:t>将涉及评审的客观资料上传至市场主体诚信库对应位置（涉密的除外），由评标评审专家予以认定，没有上传的视同没有提供相应评审资料</w:t>
            </w:r>
            <w:r>
              <w:rPr>
                <w:rFonts w:hint="eastAsia" w:ascii="宋体" w:hAnsi="宋体" w:eastAsia="宋体" w:cs="宋体"/>
                <w:i w:val="0"/>
                <w:color w:val="auto"/>
                <w:spacing w:val="0"/>
                <w:sz w:val="24"/>
                <w:szCs w:val="24"/>
                <w:highlight w:val="none"/>
                <w:shd w:val="clear" w:color="auto" w:fill="FFFFFF"/>
                <w:lang w:eastAsia="zh-CN"/>
              </w:rPr>
              <w:t>，不再要求</w:t>
            </w:r>
            <w:r>
              <w:rPr>
                <w:rFonts w:hint="eastAsia" w:ascii="宋体" w:hAnsi="宋体" w:cs="宋体"/>
                <w:i w:val="0"/>
                <w:color w:val="auto"/>
                <w:spacing w:val="0"/>
                <w:sz w:val="24"/>
                <w:szCs w:val="24"/>
                <w:highlight w:val="none"/>
                <w:shd w:val="clear" w:color="auto" w:fill="FFFFFF"/>
                <w:lang w:eastAsia="zh-CN"/>
              </w:rPr>
              <w:t>供应商</w:t>
            </w:r>
            <w:r>
              <w:rPr>
                <w:rFonts w:hint="eastAsia" w:ascii="宋体" w:hAnsi="宋体" w:eastAsia="宋体" w:cs="宋体"/>
                <w:i w:val="0"/>
                <w:color w:val="auto"/>
                <w:spacing w:val="0"/>
                <w:sz w:val="24"/>
                <w:szCs w:val="24"/>
                <w:highlight w:val="none"/>
                <w:shd w:val="clear" w:color="auto" w:fill="FFFFFF"/>
                <w:lang w:eastAsia="zh-CN"/>
              </w:rPr>
              <w:t>现场提交原件</w:t>
            </w:r>
            <w:r>
              <w:rPr>
                <w:rFonts w:hint="eastAsia" w:ascii="宋体" w:hAnsi="宋体" w:cs="宋体"/>
                <w:i w:val="0"/>
                <w:color w:val="auto"/>
                <w:spacing w:val="0"/>
                <w:sz w:val="24"/>
                <w:szCs w:val="24"/>
                <w:highlight w:val="none"/>
                <w:shd w:val="clear" w:color="auto" w:fill="FFFFFF"/>
                <w:lang w:eastAsia="zh-CN"/>
              </w:rPr>
              <w:t>，</w:t>
            </w:r>
            <w:r>
              <w:rPr>
                <w:rFonts w:hint="eastAsia" w:ascii="宋体" w:hAnsi="宋体" w:cs="宋体"/>
                <w:i w:val="0"/>
                <w:color w:val="auto"/>
                <w:spacing w:val="0"/>
                <w:sz w:val="24"/>
                <w:szCs w:val="24"/>
                <w:highlight w:val="none"/>
                <w:shd w:val="clear" w:color="auto" w:fill="FFFFFF"/>
                <w:lang w:val="en-US" w:eastAsia="zh-CN"/>
              </w:rPr>
              <w:t>没有明确要求的不需上传</w:t>
            </w:r>
            <w:r>
              <w:rPr>
                <w:rFonts w:hint="eastAsia" w:ascii="宋体" w:hAnsi="宋体" w:eastAsia="宋体" w:cs="宋体"/>
                <w:i w:val="0"/>
                <w:color w:val="auto"/>
                <w:spacing w:val="0"/>
                <w:sz w:val="24"/>
                <w:szCs w:val="24"/>
                <w:highlight w:val="none"/>
                <w:shd w:val="clear" w:color="auto" w:fill="FFFFFF"/>
                <w:lang w:eastAsia="zh-CN"/>
              </w:rPr>
              <w:t>。</w:t>
            </w:r>
          </w:p>
          <w:p w14:paraId="1EB20E4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92"/>
              <w:jc w:val="left"/>
              <w:rPr>
                <w:rFonts w:hint="eastAsia" w:ascii="宋体" w:hAnsi="宋体" w:eastAsia="宋体" w:cs="宋体"/>
                <w:color w:val="auto"/>
                <w:sz w:val="24"/>
                <w:szCs w:val="24"/>
                <w:highlight w:val="none"/>
              </w:rPr>
            </w:pPr>
            <w:r>
              <w:rPr>
                <w:rFonts w:hint="eastAsia" w:ascii="宋体" w:hAnsi="宋体" w:cs="宋体"/>
                <w:i w:val="0"/>
                <w:color w:val="auto"/>
                <w:spacing w:val="0"/>
                <w:sz w:val="24"/>
                <w:szCs w:val="24"/>
                <w:highlight w:val="none"/>
                <w:shd w:val="clear" w:color="auto" w:fill="FFFFFF"/>
                <w:lang w:eastAsia="zh-CN"/>
              </w:rPr>
              <w:t>供应商</w:t>
            </w:r>
            <w:r>
              <w:rPr>
                <w:rFonts w:hint="eastAsia" w:ascii="宋体" w:hAnsi="宋体" w:eastAsia="宋体" w:cs="宋体"/>
                <w:i w:val="0"/>
                <w:color w:val="auto"/>
                <w:spacing w:val="0"/>
                <w:sz w:val="24"/>
                <w:szCs w:val="24"/>
                <w:highlight w:val="none"/>
                <w:shd w:val="clear" w:color="auto" w:fill="FFFFFF"/>
              </w:rPr>
              <w:t>应根据《商丘市公共资源交易平台操作指南2019-12-31版本》，按照招标文件要求，将本单位涉及评审</w:t>
            </w:r>
            <w:r>
              <w:rPr>
                <w:rFonts w:hint="eastAsia" w:ascii="宋体" w:hAnsi="宋体" w:cs="宋体"/>
                <w:i w:val="0"/>
                <w:color w:val="auto"/>
                <w:spacing w:val="0"/>
                <w:sz w:val="24"/>
                <w:szCs w:val="24"/>
                <w:highlight w:val="none"/>
                <w:shd w:val="clear" w:color="auto" w:fill="FFFFFF"/>
                <w:lang w:val="en-US" w:eastAsia="zh-CN"/>
              </w:rPr>
              <w:t>的客观资料</w:t>
            </w:r>
            <w:r>
              <w:rPr>
                <w:rFonts w:hint="eastAsia" w:ascii="宋体" w:hAnsi="宋体" w:eastAsia="宋体" w:cs="宋体"/>
                <w:i w:val="0"/>
                <w:color w:val="auto"/>
                <w:spacing w:val="0"/>
                <w:sz w:val="24"/>
                <w:szCs w:val="24"/>
                <w:highlight w:val="none"/>
                <w:shd w:val="clear" w:color="auto" w:fill="FFFFFF"/>
              </w:rPr>
              <w:t>上传至市场主体库相应位置，为确保材料上传成功并方便评标评审专家查找核对，</w:t>
            </w:r>
            <w:r>
              <w:rPr>
                <w:rStyle w:val="31"/>
                <w:rFonts w:hint="eastAsia" w:ascii="宋体" w:hAnsi="宋体" w:cs="宋体"/>
                <w:i w:val="0"/>
                <w:color w:val="auto"/>
                <w:spacing w:val="0"/>
                <w:sz w:val="24"/>
                <w:szCs w:val="24"/>
                <w:highlight w:val="none"/>
                <w:shd w:val="clear" w:color="auto" w:fill="FFFFFF"/>
                <w:lang w:eastAsia="zh-CN"/>
              </w:rPr>
              <w:t>供应商</w:t>
            </w:r>
            <w:r>
              <w:rPr>
                <w:rStyle w:val="31"/>
                <w:rFonts w:hint="eastAsia" w:ascii="宋体" w:hAnsi="宋体" w:eastAsia="宋体" w:cs="宋体"/>
                <w:i w:val="0"/>
                <w:color w:val="auto"/>
                <w:spacing w:val="0"/>
                <w:sz w:val="24"/>
                <w:szCs w:val="24"/>
                <w:highlight w:val="none"/>
                <w:shd w:val="clear" w:color="auto" w:fill="FFFFFF"/>
              </w:rPr>
              <w:t>应在开标前完成资料上传并在投标文件中列明资料上传位置。</w:t>
            </w:r>
          </w:p>
          <w:p w14:paraId="4FBA86B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92"/>
              <w:jc w:val="left"/>
              <w:rPr>
                <w:rFonts w:hint="eastAsia" w:ascii="宋体" w:hAnsi="宋体" w:eastAsia="宋体" w:cs="宋体"/>
                <w:color w:val="auto"/>
                <w:sz w:val="24"/>
                <w:szCs w:val="24"/>
                <w:highlight w:val="none"/>
              </w:rPr>
            </w:pPr>
            <w:r>
              <w:rPr>
                <w:rFonts w:hint="eastAsia" w:ascii="宋体" w:hAnsi="宋体" w:eastAsia="宋体" w:cs="宋体"/>
                <w:i w:val="0"/>
                <w:color w:val="auto"/>
                <w:spacing w:val="0"/>
                <w:sz w:val="24"/>
                <w:szCs w:val="24"/>
                <w:highlight w:val="none"/>
                <w:shd w:val="clear" w:color="auto" w:fill="FFFFFF"/>
              </w:rPr>
              <w:t>市场主体诚信库中市场主体信息以评标评审专家核对时为准，核对后主体库信息发生的任何变更均不再作为评标依据。</w:t>
            </w:r>
          </w:p>
          <w:p w14:paraId="1A9A3CEE">
            <w:pPr>
              <w:keepNext w:val="0"/>
              <w:keepLines w:val="0"/>
              <w:pageBreakBefore w:val="0"/>
              <w:widowControl w:val="0"/>
              <w:kinsoku/>
              <w:wordWrap/>
              <w:overflowPunct/>
              <w:topLinePunct w:val="0"/>
              <w:autoSpaceDE/>
              <w:autoSpaceDN/>
              <w:bidi w:val="0"/>
              <w:adjustRightInd/>
              <w:snapToGrid/>
              <w:spacing w:line="360" w:lineRule="auto"/>
              <w:ind w:right="113" w:rightChars="0" w:firstLine="482"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具体流程详见交易中心系统2019年12月31日发布的《关于实行全过程不见面交易的公告》详见附件“</w:t>
            </w: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"http://www.sqggzy.com/spweb/HNSQ/FileDown/NewsFile.do?file=944e4abb-13ee-45fd-a5b0-7cc36d2de9e8" \o "点击下载" \t "http://www.sqggzy.com/spweb/HNSQ/InformationCenter/_blank"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商丘市公共资源交易平台操作指南2019-12-31版本</w:t>
            </w:r>
            <w:r>
              <w:rPr>
                <w:rFonts w:hint="eastAsia" w:ascii="宋体" w:hAnsi="宋体" w:eastAsia="宋体" w:cs="宋体"/>
                <w:b/>
                <w:bCs/>
                <w:color w:val="auto"/>
                <w:sz w:val="24"/>
                <w:szCs w:val="24"/>
                <w:highlight w:val="none"/>
                <w:lang w:val="en-US" w:eastAsia="zh-CN"/>
              </w:rPr>
              <w:fldChar w:fldCharType="end"/>
            </w:r>
            <w:r>
              <w:rPr>
                <w:rFonts w:hint="eastAsia" w:ascii="宋体" w:hAnsi="宋体" w:eastAsia="宋体" w:cs="宋体"/>
                <w:b/>
                <w:bCs/>
                <w:color w:val="auto"/>
                <w:sz w:val="24"/>
                <w:szCs w:val="24"/>
                <w:highlight w:val="none"/>
                <w:lang w:val="en-US" w:eastAsia="zh-CN"/>
              </w:rPr>
              <w:t>”。</w:t>
            </w:r>
          </w:p>
        </w:tc>
      </w:tr>
      <w:tr w14:paraId="40D0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1" w:type="dxa"/>
            <w:gridSpan w:val="4"/>
          </w:tcPr>
          <w:p w14:paraId="6C8B7526">
            <w:pPr>
              <w:keepNext w:val="0"/>
              <w:keepLines w:val="0"/>
              <w:pageBreakBefore w:val="0"/>
              <w:widowControl w:val="0"/>
              <w:kinsoku/>
              <w:wordWrap/>
              <w:overflowPunct/>
              <w:topLinePunct w:val="0"/>
              <w:autoSpaceDE/>
              <w:autoSpaceDN/>
              <w:bidi w:val="0"/>
              <w:adjustRightInd/>
              <w:snapToGrid/>
              <w:spacing w:line="360" w:lineRule="auto"/>
              <w:ind w:right="113" w:rightChars="0" w:firstLine="480" w:firstLineChars="20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标（成交）通知书发放：招标采购人及代理机构应在法定中标（成交）通知书发放时间前提交至交易中心，中标（成交）通知书发出后，中标人可以登陆交易平台点击对应项目操作—我要投标—操作—下载中标通知书完成自行下载，具体步骤详见商丘市公共资源交易中心发布的关于启用中标通知书在线制作发放功能的公告中的操作流程及注意事项。</w:t>
            </w:r>
          </w:p>
        </w:tc>
      </w:tr>
      <w:tr w14:paraId="1DB5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1" w:type="dxa"/>
            <w:gridSpan w:val="4"/>
          </w:tcPr>
          <w:p w14:paraId="7E9BF5CE">
            <w:pPr>
              <w:pStyle w:val="25"/>
              <w:keepNext w:val="0"/>
              <w:keepLines w:val="0"/>
              <w:widowControl/>
              <w:suppressLineNumbers w:val="0"/>
              <w:spacing w:before="0" w:beforeAutospacing="0" w:after="0" w:afterAutospacing="0" w:line="360" w:lineRule="auto"/>
              <w:ind w:left="0" w:leftChars="0" w:right="0" w:rightChars="0"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为提供更好服务，商丘市公共资源交易中心</w:t>
            </w:r>
            <w:r>
              <w:rPr>
                <w:rFonts w:hint="eastAsia" w:ascii="宋体" w:hAnsi="宋体" w:cs="宋体"/>
                <w:b/>
                <w:bCs/>
                <w:color w:val="auto"/>
                <w:kern w:val="2"/>
                <w:sz w:val="24"/>
                <w:szCs w:val="24"/>
                <w:highlight w:val="none"/>
                <w:lang w:val="en-US" w:eastAsia="zh-CN" w:bidi="ar-SA"/>
              </w:rPr>
              <w:t>已</w:t>
            </w:r>
            <w:r>
              <w:rPr>
                <w:rFonts w:hint="eastAsia" w:ascii="宋体" w:hAnsi="宋体" w:eastAsia="宋体" w:cs="宋体"/>
                <w:b/>
                <w:bCs/>
                <w:color w:val="auto"/>
                <w:kern w:val="2"/>
                <w:sz w:val="24"/>
                <w:szCs w:val="24"/>
                <w:highlight w:val="none"/>
                <w:lang w:val="en-US" w:eastAsia="zh-CN" w:bidi="ar-SA"/>
              </w:rPr>
              <w:t>于2021年3月6日（周六）8:00-24:00对交易平台进行更新：</w:t>
            </w:r>
          </w:p>
          <w:p w14:paraId="6BA5403C">
            <w:pPr>
              <w:pStyle w:val="25"/>
              <w:keepNext w:val="0"/>
              <w:keepLines w:val="0"/>
              <w:widowControl/>
              <w:suppressLineNumbers w:val="0"/>
              <w:spacing w:before="0" w:beforeAutospacing="0" w:after="0" w:afterAutospacing="0" w:line="360" w:lineRule="auto"/>
              <w:ind w:left="0" w:leftChars="0" w:right="0" w:rightChars="0"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增加开标过程在线询问功能，在开标结束之前，</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（供应商）可通过开标大厅在线询问按钮与代理机构在线交流，</w:t>
            </w:r>
            <w:r>
              <w:rPr>
                <w:rFonts w:hint="eastAsia" w:ascii="宋体" w:hAnsi="宋体" w:eastAsia="宋体" w:cs="宋体"/>
                <w:b/>
                <w:bCs/>
                <w:color w:val="auto"/>
                <w:kern w:val="2"/>
                <w:sz w:val="24"/>
                <w:szCs w:val="24"/>
                <w:highlight w:val="none"/>
                <w:lang w:val="en-US" w:eastAsia="zh-CN" w:bidi="ar-SA"/>
              </w:rPr>
              <w:t>代理机构应在交流结束后生成开标记录表，交流记录会汇总在开标记录表中，随档案保存。开标结束后，此功能关闭。</w:t>
            </w:r>
          </w:p>
          <w:p w14:paraId="4D4D3A1D">
            <w:pPr>
              <w:pStyle w:val="25"/>
              <w:keepNext w:val="0"/>
              <w:keepLines w:val="0"/>
              <w:widowControl/>
              <w:suppressLineNumbers w:val="0"/>
              <w:spacing w:before="0" w:beforeAutospacing="0" w:after="0" w:afterAutospacing="0"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开标大厅增加开标过程直播功能，</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安装直播插件后，在代理机构开启直播后，</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（供应商）可以点击查看直播可实时查看代理机构开标过程。直播功能插件压缩包附件下载后直接解压，并将解压后的文件放入电脑C盘Windows文件夹中即可。</w:t>
            </w:r>
          </w:p>
          <w:p w14:paraId="0DCACD6A">
            <w:pPr>
              <w:pStyle w:val="25"/>
              <w:keepNext w:val="0"/>
              <w:keepLines w:val="0"/>
              <w:widowControl/>
              <w:suppressLineNumbers w:val="0"/>
              <w:spacing w:before="0" w:beforeAutospacing="0" w:after="0" w:afterAutospacing="0"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增加开标结束提示信息，代理机构点击开标结束后，</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（供应商）在开标大厅和交易平台会收到项目开标已结束的提醒。</w:t>
            </w:r>
          </w:p>
          <w:p w14:paraId="2E15B9D4">
            <w:pPr>
              <w:pStyle w:val="25"/>
              <w:keepNext w:val="0"/>
              <w:keepLines w:val="0"/>
              <w:widowControl/>
              <w:suppressLineNumbers w:val="0"/>
              <w:spacing w:before="0" w:beforeAutospacing="0" w:after="0" w:afterAutospacing="0"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增加市场主体库项目评审期间锁定功能。市场主体在本平台参与项目评审期间，市场主体库无法更新上传内容，锁定时间为开标签到至评审结束。锁定期间，市场主体资信库信息提交发布时会提示：参与的项目正在评审，主体库已被锁定，不可编辑，评审结束后自动解锁。市场主体如有多天连续参与项目交易时，建议将主体库信息根据项目招标文件要求一次更新完成，以免造成不利后果。</w:t>
            </w:r>
          </w:p>
          <w:p w14:paraId="71B8FDA5">
            <w:pPr>
              <w:pStyle w:val="25"/>
              <w:keepNext w:val="0"/>
              <w:keepLines w:val="0"/>
              <w:widowControl/>
              <w:suppressLineNumbers w:val="0"/>
              <w:spacing w:before="0" w:beforeAutospacing="0" w:after="0" w:afterAutospacing="0" w:line="360" w:lineRule="auto"/>
              <w:ind w:right="0" w:righ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各市场主体在使用过程中遇到自行无法解决技术问题时请及时咨询，技术服务电话 0370-2853693。具体流程详见交易中心系统2021年3月2日发布的“关于交易平台优化升级的通知”</w:t>
            </w:r>
          </w:p>
        </w:tc>
      </w:tr>
      <w:tr w14:paraId="7C19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1" w:type="dxa"/>
            <w:gridSpan w:val="4"/>
          </w:tcPr>
          <w:p w14:paraId="0E1B3BA3">
            <w:pPr>
              <w:pStyle w:val="25"/>
              <w:keepNext w:val="0"/>
              <w:keepLines w:val="0"/>
              <w:widowControl/>
              <w:suppressLineNumbers w:val="0"/>
              <w:spacing w:before="0" w:beforeAutospacing="0" w:after="0" w:afterAutospacing="0" w:line="360" w:lineRule="auto"/>
              <w:ind w:right="0" w:righ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为贯彻落实《河南省营商环境优化提升行动方案（2022版）》（豫营商〔2022〕1号）、《2022年全省公共资源交易管理工作要点》（豫公管委〔2022〕2号）、《河南省财政厅关于防范供应商串通投标促进政府采购公平竞争的通知》（豫财购〔2021〕6号）精神，按照商丘市公共资源交易管理办公室《关于进一步使用大数据分析监测预警信息的通知》要求，发挥市公共资源交易中心大数据分析系统监测预警作用，进一步优化公共资源交易领域营商环境，维护公平公正、竞争有序的市场秩序，防范和惩治串通投标等不正当竞争行为，现将启用大数据分析监测预警功能，</w:t>
            </w:r>
            <w:r>
              <w:rPr>
                <w:rFonts w:hint="eastAsia" w:ascii="宋体" w:hAnsi="宋体" w:cs="宋体"/>
                <w:b w:val="0"/>
                <w:bCs w:val="0"/>
                <w:color w:val="auto"/>
                <w:kern w:val="2"/>
                <w:sz w:val="24"/>
                <w:szCs w:val="24"/>
                <w:highlight w:val="none"/>
                <w:lang w:val="en-US" w:eastAsia="zh-CN" w:bidi="ar-SA"/>
              </w:rPr>
              <w:t>有以下情形之一的作废标处理，</w:t>
            </w:r>
            <w:r>
              <w:rPr>
                <w:rFonts w:hint="eastAsia" w:ascii="宋体" w:hAnsi="宋体" w:eastAsia="宋体" w:cs="宋体"/>
                <w:b w:val="0"/>
                <w:bCs w:val="0"/>
                <w:color w:val="auto"/>
                <w:kern w:val="2"/>
                <w:sz w:val="24"/>
                <w:szCs w:val="24"/>
                <w:highlight w:val="none"/>
                <w:lang w:val="en-US" w:eastAsia="zh-CN" w:bidi="ar-SA"/>
              </w:rPr>
              <w:t>有关事项通知如下：</w:t>
            </w:r>
          </w:p>
          <w:p w14:paraId="7C7EE861">
            <w:pPr>
              <w:pStyle w:val="25"/>
              <w:keepNext w:val="0"/>
              <w:keepLines w:val="0"/>
              <w:widowControl/>
              <w:suppressLineNumbers w:val="0"/>
              <w:spacing w:before="0" w:beforeAutospacing="0" w:after="0" w:afterAutospacing="0" w:line="360" w:lineRule="auto"/>
              <w:ind w:right="0" w:righ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一、分析监测预警情形</w:t>
            </w:r>
          </w:p>
          <w:p w14:paraId="7FE4A871">
            <w:pPr>
              <w:pStyle w:val="25"/>
              <w:keepNext w:val="0"/>
              <w:keepLines w:val="0"/>
              <w:widowControl/>
              <w:suppressLineNumbers w:val="0"/>
              <w:spacing w:before="0" w:beforeAutospacing="0" w:after="0" w:afterAutospacing="0" w:line="360" w:lineRule="auto"/>
              <w:ind w:right="0" w:righ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对参与工程建设、政府采购项目同一标段（包）的</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（供应商）存在下列情形的，大数据分析系统会将监测信息在电子评标系统中给予预警提示：</w:t>
            </w:r>
          </w:p>
          <w:p w14:paraId="1F45A53B">
            <w:pPr>
              <w:pStyle w:val="25"/>
              <w:keepNext w:val="0"/>
              <w:keepLines w:val="0"/>
              <w:widowControl/>
              <w:suppressLineNumbers w:val="0"/>
              <w:spacing w:before="0" w:beforeAutospacing="0" w:after="0" w:afterAutospacing="0" w:line="360" w:lineRule="auto"/>
              <w:ind w:right="0" w:righ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1、不同</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（供应商）的电子投标（响应）文件上传计算机的网卡MAC地址、CPU序列号和硬盘序列号等硬件信息相同；</w:t>
            </w:r>
          </w:p>
          <w:p w14:paraId="5629218E">
            <w:pPr>
              <w:pStyle w:val="25"/>
              <w:keepNext w:val="0"/>
              <w:keepLines w:val="0"/>
              <w:widowControl/>
              <w:suppressLineNumbers w:val="0"/>
              <w:spacing w:before="0" w:beforeAutospacing="0" w:after="0" w:afterAutospacing="0" w:line="360" w:lineRule="auto"/>
              <w:ind w:right="0" w:righ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2、不同</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（供应商）的电子投标（响应）文件由同一电子设备编制或者上传；</w:t>
            </w:r>
          </w:p>
          <w:p w14:paraId="6C81C6F6">
            <w:pPr>
              <w:pStyle w:val="25"/>
              <w:keepNext w:val="0"/>
              <w:keepLines w:val="0"/>
              <w:widowControl/>
              <w:suppressLineNumbers w:val="0"/>
              <w:spacing w:before="0" w:beforeAutospacing="0" w:after="0" w:afterAutospacing="0" w:line="360" w:lineRule="auto"/>
              <w:ind w:right="0" w:righ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3、不同</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（供应商）的电子投标（响应）文件由同一IP地址上传；</w:t>
            </w:r>
          </w:p>
          <w:p w14:paraId="5B2130F2">
            <w:pPr>
              <w:pStyle w:val="25"/>
              <w:keepNext w:val="0"/>
              <w:keepLines w:val="0"/>
              <w:widowControl/>
              <w:suppressLineNumbers w:val="0"/>
              <w:spacing w:before="0" w:beforeAutospacing="0" w:after="0" w:afterAutospacing="0" w:line="360" w:lineRule="auto"/>
              <w:ind w:right="0" w:rightChars="0"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4、不同</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（供应商）的电子投标（响应）文件工程预算由同一预算软件（同一把预算锁）编制。</w:t>
            </w:r>
          </w:p>
          <w:p w14:paraId="39D0DAAF">
            <w:pPr>
              <w:pStyle w:val="19"/>
              <w:jc w:val="both"/>
              <w:rPr>
                <w:rFonts w:hint="default"/>
                <w:highlight w:val="none"/>
                <w:lang w:val="en-US" w:eastAsia="zh-CN"/>
              </w:rPr>
            </w:pPr>
            <w:r>
              <w:rPr>
                <w:rFonts w:hint="eastAsia" w:ascii="宋体" w:hAnsi="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对参与同一标段(包)的投标人有以上情形之一的，其投标文件无效。</w:t>
            </w:r>
          </w:p>
        </w:tc>
      </w:tr>
    </w:tbl>
    <w:p w14:paraId="218FB9A8">
      <w:pPr>
        <w:spacing w:line="360" w:lineRule="auto"/>
        <w:jc w:val="left"/>
        <w:rPr>
          <w:rFonts w:hint="eastAsia" w:ascii="宋体" w:hAnsi="宋体"/>
          <w:color w:val="000000"/>
          <w:sz w:val="24"/>
          <w:szCs w:val="24"/>
          <w:highlight w:val="none"/>
        </w:rPr>
        <w:sectPr>
          <w:footerReference r:id="rId10" w:type="default"/>
          <w:pgSz w:w="11906" w:h="16838"/>
          <w:pgMar w:top="1418" w:right="1134" w:bottom="1418" w:left="1134" w:header="851" w:footer="992" w:gutter="0"/>
          <w:pgNumType w:fmt="decimal"/>
          <w:cols w:space="720" w:num="1"/>
          <w:docGrid w:type="lines" w:linePitch="312" w:charSpace="0"/>
        </w:sectPr>
      </w:pPr>
    </w:p>
    <w:p w14:paraId="088934C3">
      <w:pPr>
        <w:rPr>
          <w:rFonts w:hint="eastAsia" w:ascii="宋体" w:hAnsi="宋体" w:eastAsia="宋体" w:cs="宋体"/>
          <w:b/>
          <w:bCs/>
          <w:sz w:val="24"/>
          <w:szCs w:val="24"/>
          <w:highlight w:val="none"/>
        </w:rPr>
      </w:pPr>
      <w:bookmarkStart w:id="4" w:name="_Toc28638"/>
      <w:r>
        <w:rPr>
          <w:rFonts w:hint="eastAsia" w:ascii="宋体" w:hAnsi="宋体" w:eastAsia="宋体" w:cs="宋体"/>
          <w:b/>
          <w:bCs/>
          <w:sz w:val="24"/>
          <w:szCs w:val="24"/>
          <w:highlight w:val="none"/>
        </w:rPr>
        <w:t>1.总则</w:t>
      </w:r>
    </w:p>
    <w:p w14:paraId="073CBC8A">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1.1项目概况</w:t>
      </w:r>
    </w:p>
    <w:p w14:paraId="031742D5">
      <w:pPr>
        <w:keepNext w:val="0"/>
        <w:keepLines w:val="0"/>
        <w:pageBreakBefore w:val="0"/>
        <w:widowControl w:val="0"/>
        <w:kinsoku/>
        <w:wordWrap/>
        <w:overflowPunct/>
        <w:topLinePunct w:val="0"/>
        <w:autoSpaceDE/>
        <w:autoSpaceDN/>
        <w:bidi w:val="0"/>
        <w:adjustRightInd/>
        <w:snapToGrid/>
        <w:spacing w:line="360" w:lineRule="auto"/>
        <w:ind w:right="-149" w:rightChars="-71"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1.1.1根据《中华人民</w:t>
      </w:r>
      <w:r>
        <w:rPr>
          <w:rFonts w:hint="eastAsia" w:ascii="宋体" w:hAnsi="宋体" w:cs="宋体"/>
          <w:sz w:val="24"/>
          <w:szCs w:val="24"/>
          <w:highlight w:val="none"/>
          <w:lang w:val="en-US" w:eastAsia="zh-CN"/>
        </w:rPr>
        <w:t>政府采购法</w:t>
      </w:r>
      <w:r>
        <w:rPr>
          <w:rFonts w:hint="eastAsia" w:ascii="宋体" w:hAnsi="宋体" w:eastAsia="宋体" w:cs="宋体"/>
          <w:sz w:val="24"/>
          <w:szCs w:val="24"/>
          <w:highlight w:val="none"/>
        </w:rPr>
        <w:t>》等有关法律、法规和规章的规定，本招标项目已具备招标条件，现对</w:t>
      </w: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rPr>
        <w:t>进行招标。</w:t>
      </w:r>
    </w:p>
    <w:p w14:paraId="748BE9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1.1.2本招标项目</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人：见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2FE801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1.1.3本标段招标代理机构：见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04587C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1.1.4本招标项目名称：见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07DAC9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1.1.5本</w:t>
      </w:r>
      <w:r>
        <w:rPr>
          <w:rFonts w:hint="eastAsia" w:ascii="宋体" w:hAnsi="宋体" w:eastAsia="宋体" w:cs="宋体"/>
          <w:sz w:val="24"/>
          <w:szCs w:val="24"/>
          <w:highlight w:val="none"/>
          <w:lang w:val="en-US" w:eastAsia="zh-CN"/>
        </w:rPr>
        <w:t>项目</w:t>
      </w:r>
      <w:r>
        <w:rPr>
          <w:rFonts w:hint="eastAsia" w:ascii="宋体" w:hAnsi="宋体" w:cs="宋体"/>
          <w:sz w:val="24"/>
          <w:szCs w:val="24"/>
          <w:highlight w:val="none"/>
          <w:lang w:val="en-US" w:eastAsia="zh-CN"/>
        </w:rPr>
        <w:t>供货地点</w:t>
      </w:r>
      <w:r>
        <w:rPr>
          <w:rFonts w:hint="eastAsia" w:ascii="宋体" w:hAnsi="宋体" w:eastAsia="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53C081C4">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1.2招标项目的资金来源和落实情况</w:t>
      </w:r>
    </w:p>
    <w:p w14:paraId="1E0375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1.2.1资金来源及比例：见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0F8163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1.2.2资金落实情况：见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7EA0DFC3">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1.3</w:t>
      </w:r>
      <w:r>
        <w:rPr>
          <w:rFonts w:hint="eastAsia" w:ascii="宋体" w:hAnsi="宋体" w:eastAsia="宋体" w:cs="宋体"/>
          <w:b/>
          <w:bCs/>
          <w:sz w:val="24"/>
          <w:szCs w:val="24"/>
          <w:highlight w:val="none"/>
        </w:rPr>
        <w:t>招标</w:t>
      </w:r>
      <w:r>
        <w:rPr>
          <w:rFonts w:hint="eastAsia" w:ascii="宋体" w:hAnsi="宋体" w:eastAsia="宋体" w:cs="宋体"/>
          <w:b/>
          <w:bCs/>
          <w:sz w:val="24"/>
          <w:szCs w:val="24"/>
          <w:highlight w:val="none"/>
          <w:lang w:val="en-US" w:eastAsia="zh-CN"/>
        </w:rPr>
        <w:t>内容</w:t>
      </w:r>
      <w:r>
        <w:rPr>
          <w:rFonts w:hint="eastAsia" w:ascii="宋体" w:hAnsi="宋体" w:eastAsia="宋体" w:cs="宋体"/>
          <w:b/>
          <w:bCs/>
          <w:sz w:val="24"/>
          <w:szCs w:val="24"/>
          <w:highlight w:val="none"/>
        </w:rPr>
        <w:t>、</w:t>
      </w:r>
      <w:r>
        <w:rPr>
          <w:rFonts w:hint="eastAsia" w:ascii="宋体" w:hAnsi="宋体" w:cs="宋体"/>
          <w:b/>
          <w:bCs/>
          <w:sz w:val="24"/>
          <w:szCs w:val="24"/>
          <w:highlight w:val="none"/>
          <w:lang w:eastAsia="zh-CN"/>
        </w:rPr>
        <w:t>供货期限</w:t>
      </w:r>
      <w:r>
        <w:rPr>
          <w:rFonts w:hint="eastAsia" w:ascii="宋体" w:hAnsi="宋体" w:eastAsia="宋体" w:cs="宋体"/>
          <w:b/>
          <w:bCs/>
          <w:sz w:val="24"/>
          <w:szCs w:val="24"/>
          <w:highlight w:val="none"/>
        </w:rPr>
        <w:t>、质量要求</w:t>
      </w:r>
    </w:p>
    <w:p w14:paraId="7BA6E0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1.3.1</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内容</w:t>
      </w:r>
      <w:r>
        <w:rPr>
          <w:rFonts w:hint="eastAsia" w:ascii="宋体" w:hAnsi="宋体" w:eastAsia="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5AA8EA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本标段的</w:t>
      </w:r>
      <w:r>
        <w:rPr>
          <w:rFonts w:hint="eastAsia" w:ascii="宋体" w:hAnsi="宋体" w:cs="宋体"/>
          <w:sz w:val="24"/>
          <w:szCs w:val="24"/>
          <w:highlight w:val="none"/>
          <w:lang w:eastAsia="zh-CN"/>
        </w:rPr>
        <w:t>供货期限</w:t>
      </w:r>
      <w:r>
        <w:rPr>
          <w:rFonts w:hint="eastAsia" w:ascii="宋体" w:hAnsi="宋体" w:eastAsia="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5961E0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本标段的质量要求：见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须知前附表。</w:t>
      </w:r>
    </w:p>
    <w:p w14:paraId="6F866948">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1.4</w:t>
      </w:r>
      <w:r>
        <w:rPr>
          <w:rFonts w:hint="eastAsia" w:ascii="宋体" w:hAnsi="宋体" w:cs="宋体"/>
          <w:b/>
          <w:bCs/>
          <w:sz w:val="24"/>
          <w:szCs w:val="24"/>
          <w:highlight w:val="none"/>
          <w:lang w:eastAsia="zh-CN"/>
        </w:rPr>
        <w:t>供应商</w:t>
      </w:r>
      <w:r>
        <w:rPr>
          <w:rFonts w:hint="eastAsia" w:ascii="宋体" w:hAnsi="宋体" w:eastAsia="宋体" w:cs="宋体"/>
          <w:b/>
          <w:bCs/>
          <w:sz w:val="24"/>
          <w:szCs w:val="24"/>
          <w:highlight w:val="none"/>
        </w:rPr>
        <w:t>资格要求</w:t>
      </w:r>
    </w:p>
    <w:p w14:paraId="107C8671">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应具备承担本项目的资</w:t>
      </w:r>
      <w:r>
        <w:rPr>
          <w:rFonts w:hint="eastAsia" w:ascii="宋体" w:hAnsi="宋体" w:eastAsia="宋体" w:cs="宋体"/>
          <w:color w:val="auto"/>
          <w:sz w:val="24"/>
          <w:szCs w:val="24"/>
          <w:highlight w:val="none"/>
          <w:lang w:val="en-US" w:eastAsia="zh-CN"/>
        </w:rPr>
        <w:t>格</w:t>
      </w:r>
      <w:r>
        <w:rPr>
          <w:rFonts w:hint="eastAsia" w:ascii="宋体" w:hAnsi="宋体" w:eastAsia="宋体" w:cs="宋体"/>
          <w:color w:val="auto"/>
          <w:sz w:val="24"/>
          <w:szCs w:val="24"/>
          <w:highlight w:val="none"/>
        </w:rPr>
        <w:t>条件、能力和信誉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2457B38">
      <w:p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本项目不接受联合体投标。</w:t>
      </w:r>
    </w:p>
    <w:p w14:paraId="58434D18">
      <w:pPr>
        <w:pStyle w:val="59"/>
        <w:numPr>
          <w:ilvl w:val="0"/>
          <w:numId w:val="0"/>
        </w:numPr>
        <w:tabs>
          <w:tab w:val="left" w:pos="1123"/>
        </w:tabs>
        <w:spacing w:before="155" w:after="0" w:line="360" w:lineRule="auto"/>
        <w:ind w:right="0" w:right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1.5</w:t>
      </w:r>
      <w:r>
        <w:rPr>
          <w:rFonts w:hint="eastAsia" w:ascii="宋体" w:hAnsi="宋体" w:eastAsia="宋体" w:cs="宋体"/>
          <w:b/>
          <w:sz w:val="24"/>
          <w:szCs w:val="24"/>
          <w:highlight w:val="none"/>
        </w:rPr>
        <w:t>费用承担</w:t>
      </w:r>
    </w:p>
    <w:p w14:paraId="1C4D198B">
      <w:pPr>
        <w:keepNext w:val="0"/>
        <w:keepLines w:val="0"/>
        <w:pageBreakBefore w:val="0"/>
        <w:widowControl w:val="0"/>
        <w:kinsoku/>
        <w:wordWrap/>
        <w:overflowPunct/>
        <w:topLinePunct w:val="0"/>
        <w:autoSpaceDE/>
        <w:autoSpaceDN/>
        <w:bidi w:val="0"/>
        <w:adjustRightInd/>
        <w:snapToGrid/>
        <w:spacing w:line="360" w:lineRule="auto"/>
        <w:ind w:right="399" w:rightChars="190"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准备和参加投标活动发生的费用自理。</w:t>
      </w:r>
    </w:p>
    <w:p w14:paraId="68ECDD43">
      <w:pPr>
        <w:pStyle w:val="59"/>
        <w:numPr>
          <w:ilvl w:val="0"/>
          <w:numId w:val="0"/>
        </w:numPr>
        <w:tabs>
          <w:tab w:val="left" w:pos="1123"/>
        </w:tabs>
        <w:spacing w:before="155" w:after="0" w:line="240" w:lineRule="auto"/>
        <w:ind w:right="0" w:right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1.6</w:t>
      </w:r>
      <w:r>
        <w:rPr>
          <w:rFonts w:hint="eastAsia" w:ascii="宋体" w:hAnsi="宋体" w:eastAsia="宋体" w:cs="宋体"/>
          <w:b/>
          <w:sz w:val="24"/>
          <w:szCs w:val="24"/>
          <w:highlight w:val="none"/>
        </w:rPr>
        <w:t>保密</w:t>
      </w:r>
    </w:p>
    <w:p w14:paraId="4932AD32">
      <w:pPr>
        <w:spacing w:before="155" w:line="386" w:lineRule="auto"/>
        <w:ind w:right="437"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参与招标投标活动的各方应对</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和投标文件中的商业和技术等秘密保密，否则应承担相</w:t>
      </w:r>
      <w:r>
        <w:rPr>
          <w:rFonts w:hint="eastAsia" w:ascii="宋体" w:hAnsi="宋体" w:eastAsia="宋体" w:cs="宋体"/>
          <w:w w:val="105"/>
          <w:sz w:val="24"/>
          <w:szCs w:val="24"/>
          <w:highlight w:val="none"/>
        </w:rPr>
        <w:t>应的法律责任。</w:t>
      </w:r>
    </w:p>
    <w:p w14:paraId="18D5472A">
      <w:pPr>
        <w:bidi w:val="0"/>
        <w:spacing w:line="360" w:lineRule="auto"/>
        <w:rPr>
          <w:rFonts w:hint="eastAsia" w:ascii="宋体" w:hAnsi="宋体" w:eastAsia="宋体" w:cs="宋体"/>
          <w:b/>
          <w:kern w:val="2"/>
          <w:sz w:val="24"/>
          <w:szCs w:val="24"/>
          <w:highlight w:val="none"/>
          <w:lang w:val="zh-CN" w:eastAsia="zh-CN" w:bidi="zh-CN"/>
        </w:rPr>
      </w:pPr>
      <w:r>
        <w:rPr>
          <w:rFonts w:hint="eastAsia" w:ascii="宋体" w:hAnsi="宋体" w:eastAsia="宋体" w:cs="宋体"/>
          <w:b/>
          <w:kern w:val="2"/>
          <w:sz w:val="24"/>
          <w:szCs w:val="24"/>
          <w:highlight w:val="none"/>
          <w:lang w:val="en-US" w:eastAsia="zh-CN" w:bidi="zh-CN"/>
        </w:rPr>
        <w:t>1.7</w:t>
      </w:r>
      <w:r>
        <w:rPr>
          <w:rFonts w:hint="eastAsia" w:ascii="宋体" w:hAnsi="宋体" w:eastAsia="宋体" w:cs="宋体"/>
          <w:b/>
          <w:kern w:val="2"/>
          <w:sz w:val="24"/>
          <w:szCs w:val="24"/>
          <w:highlight w:val="none"/>
          <w:lang w:val="zh-CN" w:eastAsia="zh-CN" w:bidi="zh-CN"/>
        </w:rPr>
        <w:t>语言文字</w:t>
      </w:r>
    </w:p>
    <w:p w14:paraId="5DAF57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招标投标文件使用的语言文字为中文。专用术语使用外文的外，应附有中文注释。</w:t>
      </w:r>
    </w:p>
    <w:p w14:paraId="72940B73">
      <w:pPr>
        <w:pStyle w:val="59"/>
        <w:numPr>
          <w:ilvl w:val="0"/>
          <w:numId w:val="0"/>
        </w:numPr>
        <w:tabs>
          <w:tab w:val="left" w:pos="843"/>
        </w:tabs>
        <w:spacing w:before="157" w:after="0" w:line="360" w:lineRule="auto"/>
        <w:ind w:right="0" w:rightChars="0"/>
        <w:jc w:val="left"/>
        <w:rPr>
          <w:rFonts w:hint="eastAsia" w:ascii="宋体" w:hAnsi="宋体" w:eastAsia="宋体" w:cs="宋体"/>
          <w:b/>
          <w:kern w:val="2"/>
          <w:sz w:val="24"/>
          <w:szCs w:val="24"/>
          <w:highlight w:val="none"/>
          <w:lang w:val="zh-CN" w:eastAsia="zh-CN" w:bidi="zh-CN"/>
        </w:rPr>
      </w:pPr>
      <w:r>
        <w:rPr>
          <w:rFonts w:hint="eastAsia" w:ascii="宋体" w:hAnsi="宋体" w:eastAsia="宋体" w:cs="宋体"/>
          <w:b/>
          <w:kern w:val="2"/>
          <w:sz w:val="24"/>
          <w:szCs w:val="24"/>
          <w:highlight w:val="none"/>
          <w:lang w:val="en-US" w:eastAsia="zh-CN" w:bidi="zh-CN"/>
        </w:rPr>
        <w:t>1.8</w:t>
      </w:r>
      <w:r>
        <w:rPr>
          <w:rFonts w:hint="eastAsia" w:ascii="宋体" w:hAnsi="宋体" w:eastAsia="宋体" w:cs="宋体"/>
          <w:b/>
          <w:kern w:val="2"/>
          <w:sz w:val="24"/>
          <w:szCs w:val="24"/>
          <w:highlight w:val="none"/>
          <w:lang w:val="zh-CN" w:eastAsia="zh-CN" w:bidi="zh-CN"/>
        </w:rPr>
        <w:t>计量单位</w:t>
      </w:r>
    </w:p>
    <w:p w14:paraId="455C60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所有计量均采用中华人民共和国法定计量单位。</w:t>
      </w:r>
    </w:p>
    <w:p w14:paraId="6841E243">
      <w:pPr>
        <w:pStyle w:val="59"/>
        <w:numPr>
          <w:ilvl w:val="0"/>
          <w:numId w:val="0"/>
        </w:numPr>
        <w:tabs>
          <w:tab w:val="left" w:pos="843"/>
        </w:tabs>
        <w:spacing w:before="157" w:after="0" w:line="360" w:lineRule="auto"/>
        <w:ind w:right="0" w:rightChars="0"/>
        <w:jc w:val="left"/>
        <w:rPr>
          <w:rFonts w:hint="eastAsia" w:ascii="宋体" w:hAnsi="宋体" w:eastAsia="宋体" w:cs="宋体"/>
          <w:b/>
          <w:kern w:val="2"/>
          <w:sz w:val="24"/>
          <w:szCs w:val="24"/>
          <w:highlight w:val="none"/>
          <w:lang w:val="zh-CN" w:eastAsia="zh-CN" w:bidi="zh-CN"/>
        </w:rPr>
      </w:pPr>
      <w:r>
        <w:rPr>
          <w:rFonts w:hint="eastAsia" w:ascii="宋体" w:hAnsi="宋体" w:eastAsia="宋体" w:cs="宋体"/>
          <w:b/>
          <w:kern w:val="2"/>
          <w:sz w:val="24"/>
          <w:szCs w:val="24"/>
          <w:highlight w:val="none"/>
          <w:lang w:val="en-US" w:eastAsia="zh-CN" w:bidi="zh-CN"/>
        </w:rPr>
        <w:t>1.9</w:t>
      </w:r>
      <w:r>
        <w:rPr>
          <w:rFonts w:hint="eastAsia" w:ascii="宋体" w:hAnsi="宋体" w:eastAsia="宋体" w:cs="宋体"/>
          <w:b/>
          <w:kern w:val="2"/>
          <w:sz w:val="24"/>
          <w:szCs w:val="24"/>
          <w:highlight w:val="none"/>
          <w:lang w:val="zh-CN" w:eastAsia="zh-CN" w:bidi="zh-CN"/>
        </w:rPr>
        <w:t>踏勘现场</w:t>
      </w:r>
    </w:p>
    <w:p w14:paraId="7C8E8ACC">
      <w:pPr>
        <w:pStyle w:val="59"/>
        <w:numPr>
          <w:ilvl w:val="0"/>
          <w:numId w:val="0"/>
        </w:numPr>
        <w:tabs>
          <w:tab w:val="left" w:pos="843"/>
        </w:tabs>
        <w:spacing w:before="157" w:after="0" w:line="360" w:lineRule="auto"/>
        <w:ind w:right="0" w:rightChars="0" w:firstLine="960" w:firstLineChars="400"/>
        <w:jc w:val="left"/>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本项目不组织</w:t>
      </w:r>
    </w:p>
    <w:p w14:paraId="43DA1746">
      <w:pPr>
        <w:pStyle w:val="59"/>
        <w:numPr>
          <w:ilvl w:val="0"/>
          <w:numId w:val="0"/>
        </w:numPr>
        <w:tabs>
          <w:tab w:val="left" w:pos="946"/>
        </w:tabs>
        <w:spacing w:before="0" w:after="0" w:line="360" w:lineRule="auto"/>
        <w:ind w:right="0" w:rightChars="0"/>
        <w:jc w:val="both"/>
        <w:rPr>
          <w:rFonts w:hint="eastAsia" w:ascii="宋体" w:hAnsi="宋体" w:eastAsia="宋体" w:cs="宋体"/>
          <w:b/>
          <w:bCs w:val="0"/>
          <w:spacing w:val="1"/>
          <w:sz w:val="24"/>
          <w:szCs w:val="24"/>
          <w:highlight w:val="none"/>
        </w:rPr>
      </w:pPr>
      <w:r>
        <w:rPr>
          <w:rFonts w:hint="eastAsia" w:ascii="宋体" w:hAnsi="宋体" w:eastAsia="宋体" w:cs="宋体"/>
          <w:b/>
          <w:bCs w:val="0"/>
          <w:spacing w:val="1"/>
          <w:sz w:val="24"/>
          <w:szCs w:val="24"/>
          <w:highlight w:val="none"/>
          <w:lang w:val="en-US" w:eastAsia="zh-CN"/>
        </w:rPr>
        <w:t>1.10</w:t>
      </w:r>
      <w:r>
        <w:rPr>
          <w:rFonts w:hint="eastAsia" w:ascii="宋体" w:hAnsi="宋体" w:eastAsia="宋体" w:cs="宋体"/>
          <w:b/>
          <w:bCs w:val="0"/>
          <w:spacing w:val="1"/>
          <w:sz w:val="24"/>
          <w:szCs w:val="24"/>
          <w:highlight w:val="none"/>
        </w:rPr>
        <w:t>投标预备会</w:t>
      </w:r>
    </w:p>
    <w:p w14:paraId="10F78167">
      <w:pPr>
        <w:pStyle w:val="59"/>
        <w:numPr>
          <w:ilvl w:val="0"/>
          <w:numId w:val="0"/>
        </w:numPr>
        <w:tabs>
          <w:tab w:val="left" w:pos="946"/>
        </w:tabs>
        <w:spacing w:before="0" w:after="0" w:line="360" w:lineRule="auto"/>
        <w:ind w:right="0" w:rightChars="0" w:firstLine="960" w:firstLineChars="40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本项目不召开</w:t>
      </w:r>
    </w:p>
    <w:p w14:paraId="091CE0E8">
      <w:pPr>
        <w:pStyle w:val="59"/>
        <w:numPr>
          <w:ilvl w:val="0"/>
          <w:numId w:val="0"/>
        </w:numPr>
        <w:tabs>
          <w:tab w:val="left" w:pos="946"/>
        </w:tabs>
        <w:spacing w:before="0" w:after="0" w:line="360" w:lineRule="auto"/>
        <w:ind w:right="0" w:rightChars="0"/>
        <w:jc w:val="both"/>
        <w:rPr>
          <w:rFonts w:hint="eastAsia" w:ascii="宋体" w:hAnsi="宋体" w:eastAsia="宋体" w:cs="宋体"/>
          <w:b/>
          <w:bCs w:val="0"/>
          <w:spacing w:val="1"/>
          <w:sz w:val="24"/>
          <w:szCs w:val="24"/>
          <w:highlight w:val="none"/>
        </w:rPr>
      </w:pPr>
      <w:r>
        <w:rPr>
          <w:rFonts w:hint="eastAsia" w:ascii="宋体" w:hAnsi="宋体" w:eastAsia="宋体" w:cs="宋体"/>
          <w:b/>
          <w:bCs w:val="0"/>
          <w:spacing w:val="1"/>
          <w:sz w:val="24"/>
          <w:szCs w:val="24"/>
          <w:highlight w:val="none"/>
          <w:lang w:val="en-US" w:eastAsia="zh-CN"/>
        </w:rPr>
        <w:t>1.11</w:t>
      </w:r>
      <w:r>
        <w:rPr>
          <w:rFonts w:hint="eastAsia" w:ascii="宋体" w:hAnsi="宋体" w:eastAsia="宋体" w:cs="宋体"/>
          <w:b/>
          <w:bCs w:val="0"/>
          <w:spacing w:val="1"/>
          <w:sz w:val="24"/>
          <w:szCs w:val="24"/>
          <w:highlight w:val="none"/>
        </w:rPr>
        <w:t>分包</w:t>
      </w:r>
    </w:p>
    <w:p w14:paraId="18FA41A6">
      <w:pPr>
        <w:pStyle w:val="59"/>
        <w:numPr>
          <w:ilvl w:val="0"/>
          <w:numId w:val="0"/>
        </w:numPr>
        <w:tabs>
          <w:tab w:val="left" w:pos="946"/>
        </w:tabs>
        <w:spacing w:before="0" w:after="0" w:line="360" w:lineRule="auto"/>
        <w:ind w:right="0" w:rightChars="0" w:firstLine="960" w:firstLineChars="400"/>
        <w:jc w:val="both"/>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本项目不允许</w:t>
      </w:r>
    </w:p>
    <w:p w14:paraId="65DC737F">
      <w:pPr>
        <w:pStyle w:val="59"/>
        <w:numPr>
          <w:ilvl w:val="0"/>
          <w:numId w:val="0"/>
        </w:numPr>
        <w:tabs>
          <w:tab w:val="left" w:pos="1019"/>
        </w:tabs>
        <w:spacing w:before="156" w:after="0" w:line="240" w:lineRule="auto"/>
        <w:ind w:right="0" w:right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2.招标文件</w:t>
      </w:r>
    </w:p>
    <w:p w14:paraId="4B4031F6">
      <w:pPr>
        <w:pStyle w:val="59"/>
        <w:keepNext w:val="0"/>
        <w:keepLines w:val="0"/>
        <w:pageBreakBefore w:val="0"/>
        <w:widowControl w:val="0"/>
        <w:numPr>
          <w:ilvl w:val="0"/>
          <w:numId w:val="0"/>
        </w:numPr>
        <w:tabs>
          <w:tab w:val="left" w:pos="1123"/>
        </w:tabs>
        <w:kinsoku/>
        <w:wordWrap/>
        <w:overflowPunct/>
        <w:topLinePunct w:val="0"/>
        <w:autoSpaceDE/>
        <w:autoSpaceDN/>
        <w:bidi w:val="0"/>
        <w:adjustRightInd/>
        <w:snapToGrid/>
        <w:spacing w:before="156" w:after="0" w:line="360" w:lineRule="auto"/>
        <w:ind w:right="6060" w:rightChars="0"/>
        <w:jc w:val="left"/>
        <w:textAlignment w:val="auto"/>
        <w:rPr>
          <w:rFonts w:hint="eastAsia" w:ascii="宋体" w:hAnsi="宋体" w:eastAsia="宋体" w:cs="宋体"/>
          <w:b/>
          <w:w w:val="105"/>
          <w:sz w:val="24"/>
          <w:szCs w:val="24"/>
          <w:highlight w:val="none"/>
        </w:rPr>
      </w:pPr>
      <w:r>
        <w:rPr>
          <w:rFonts w:hint="eastAsia" w:ascii="宋体" w:hAnsi="宋体" w:eastAsia="宋体" w:cs="宋体"/>
          <w:b/>
          <w:w w:val="105"/>
          <w:sz w:val="24"/>
          <w:szCs w:val="24"/>
          <w:highlight w:val="none"/>
          <w:lang w:val="en-US" w:eastAsia="zh-CN"/>
        </w:rPr>
        <w:t>2.1招标文件</w:t>
      </w:r>
      <w:r>
        <w:rPr>
          <w:rFonts w:hint="eastAsia" w:ascii="宋体" w:hAnsi="宋体" w:eastAsia="宋体" w:cs="宋体"/>
          <w:b/>
          <w:w w:val="105"/>
          <w:sz w:val="24"/>
          <w:szCs w:val="24"/>
          <w:highlight w:val="none"/>
        </w:rPr>
        <w:t>的组成</w:t>
      </w:r>
    </w:p>
    <w:p w14:paraId="18590B9F">
      <w:pPr>
        <w:pStyle w:val="59"/>
        <w:keepNext w:val="0"/>
        <w:keepLines w:val="0"/>
        <w:pageBreakBefore w:val="0"/>
        <w:widowControl w:val="0"/>
        <w:numPr>
          <w:ilvl w:val="0"/>
          <w:numId w:val="0"/>
        </w:numPr>
        <w:tabs>
          <w:tab w:val="left" w:pos="1123"/>
        </w:tabs>
        <w:kinsoku/>
        <w:wordWrap/>
        <w:overflowPunct/>
        <w:topLinePunct w:val="0"/>
        <w:autoSpaceDE/>
        <w:autoSpaceDN/>
        <w:bidi w:val="0"/>
        <w:adjustRightInd/>
        <w:snapToGrid/>
        <w:spacing w:before="156" w:after="0" w:line="240" w:lineRule="auto"/>
        <w:ind w:right="6060" w:righ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本招标文件包括：</w:t>
      </w:r>
    </w:p>
    <w:p w14:paraId="1BA6CE0D">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0" w:after="0" w:line="240" w:lineRule="auto"/>
        <w:ind w:leftChars="200" w:right="0" w:righ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cs="宋体"/>
          <w:kern w:val="2"/>
          <w:sz w:val="24"/>
          <w:szCs w:val="24"/>
          <w:highlight w:val="none"/>
          <w:lang w:val="en-US" w:eastAsia="zh-CN" w:bidi="ar-SA"/>
        </w:rPr>
        <w:t>招标</w:t>
      </w:r>
      <w:r>
        <w:rPr>
          <w:rFonts w:hint="eastAsia" w:ascii="宋体" w:hAnsi="宋体" w:eastAsia="宋体" w:cs="宋体"/>
          <w:kern w:val="2"/>
          <w:sz w:val="24"/>
          <w:szCs w:val="24"/>
          <w:highlight w:val="none"/>
          <w:lang w:val="en-US" w:eastAsia="zh-CN" w:bidi="ar-SA"/>
        </w:rPr>
        <w:t>公告；</w:t>
      </w:r>
    </w:p>
    <w:p w14:paraId="5A985BB6">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240" w:lineRule="auto"/>
        <w:ind w:leftChars="200" w:right="0" w:righ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须知；</w:t>
      </w:r>
    </w:p>
    <w:p w14:paraId="6885D877">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240" w:lineRule="auto"/>
        <w:ind w:leftChars="200" w:right="0" w:righ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（3）评标办法</w:t>
      </w:r>
      <w:r>
        <w:rPr>
          <w:rFonts w:hint="eastAsia" w:cs="宋体"/>
          <w:kern w:val="2"/>
          <w:sz w:val="24"/>
          <w:szCs w:val="24"/>
          <w:highlight w:val="none"/>
          <w:lang w:val="en-US" w:eastAsia="zh-CN" w:bidi="ar-SA"/>
        </w:rPr>
        <w:t>（综合评分法）</w:t>
      </w:r>
    </w:p>
    <w:p w14:paraId="279FB207">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240" w:lineRule="auto"/>
        <w:ind w:leftChars="200" w:right="0" w:righ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r>
        <w:rPr>
          <w:rFonts w:hint="eastAsia" w:cs="宋体"/>
          <w:kern w:val="2"/>
          <w:sz w:val="24"/>
          <w:szCs w:val="24"/>
          <w:highlight w:val="none"/>
          <w:lang w:val="en-US" w:eastAsia="zh-CN" w:bidi="ar-SA"/>
        </w:rPr>
        <w:t>技术要求</w:t>
      </w:r>
      <w:r>
        <w:rPr>
          <w:rFonts w:hint="eastAsia" w:ascii="宋体" w:hAnsi="宋体" w:eastAsia="宋体" w:cs="宋体"/>
          <w:kern w:val="2"/>
          <w:sz w:val="24"/>
          <w:szCs w:val="24"/>
          <w:highlight w:val="none"/>
          <w:lang w:val="en-US" w:eastAsia="zh-CN" w:bidi="ar-SA"/>
        </w:rPr>
        <w:t>；</w:t>
      </w:r>
    </w:p>
    <w:p w14:paraId="4667C3B9">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240" w:lineRule="auto"/>
        <w:ind w:leftChars="200" w:right="0" w:righ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r>
        <w:rPr>
          <w:rFonts w:hint="eastAsia" w:cs="宋体"/>
          <w:kern w:val="2"/>
          <w:sz w:val="24"/>
          <w:szCs w:val="24"/>
          <w:highlight w:val="none"/>
          <w:lang w:val="en-US" w:eastAsia="zh-CN" w:bidi="ar-SA"/>
        </w:rPr>
        <w:t>合同条款及格式</w:t>
      </w:r>
      <w:r>
        <w:rPr>
          <w:rFonts w:hint="eastAsia" w:ascii="宋体" w:hAnsi="宋体" w:eastAsia="宋体" w:cs="宋体"/>
          <w:kern w:val="2"/>
          <w:sz w:val="24"/>
          <w:szCs w:val="24"/>
          <w:highlight w:val="none"/>
          <w:lang w:val="en-US" w:eastAsia="zh-CN" w:bidi="ar-SA"/>
        </w:rPr>
        <w:t>；</w:t>
      </w:r>
    </w:p>
    <w:p w14:paraId="74542ED2">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240" w:lineRule="auto"/>
        <w:ind w:leftChars="200" w:right="0" w:righ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（6）投标文件格式；</w:t>
      </w:r>
    </w:p>
    <w:p w14:paraId="2FA35FF8">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360" w:lineRule="auto"/>
        <w:ind w:leftChars="200" w:right="0" w:rightChars="0"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根据本章第 2.2 款和第 2.3 款对招标文件所作的澄清、修改，构成招标文件的组成部分。当招标文件、招标文件的澄清或修改等在同一内容的表述上不一致时，以最后发出的书面文件为准。</w:t>
      </w:r>
    </w:p>
    <w:p w14:paraId="15816D67">
      <w:pPr>
        <w:pStyle w:val="59"/>
        <w:numPr>
          <w:ilvl w:val="0"/>
          <w:numId w:val="0"/>
        </w:numPr>
        <w:tabs>
          <w:tab w:val="left" w:pos="843"/>
        </w:tabs>
        <w:spacing w:before="0" w:after="0" w:line="360" w:lineRule="auto"/>
        <w:ind w:right="0" w:rightChars="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2.2、</w:t>
      </w:r>
      <w:r>
        <w:rPr>
          <w:rFonts w:hint="eastAsia" w:ascii="宋体" w:hAnsi="宋体" w:eastAsia="宋体" w:cs="宋体"/>
          <w:b/>
          <w:sz w:val="24"/>
          <w:szCs w:val="24"/>
          <w:highlight w:val="none"/>
          <w:lang w:eastAsia="zh-CN"/>
        </w:rPr>
        <w:t>招标文件</w:t>
      </w:r>
      <w:r>
        <w:rPr>
          <w:rFonts w:hint="eastAsia" w:ascii="宋体" w:hAnsi="宋体" w:eastAsia="宋体" w:cs="宋体"/>
          <w:b/>
          <w:sz w:val="24"/>
          <w:szCs w:val="24"/>
          <w:highlight w:val="none"/>
        </w:rPr>
        <w:t>的澄清</w:t>
      </w:r>
    </w:p>
    <w:p w14:paraId="11DCB5C8">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360" w:lineRule="auto"/>
        <w:ind w:leftChars="200" w:right="0" w:rightChars="0"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w:t>
      </w:r>
      <w:r>
        <w:rPr>
          <w:rFonts w:hint="eastAsia" w:cs="宋体"/>
          <w:sz w:val="24"/>
          <w:szCs w:val="24"/>
          <w:highlight w:val="none"/>
          <w:lang w:val="en-US" w:eastAsia="zh-CN"/>
        </w:rPr>
        <w:t>供应商</w:t>
      </w:r>
      <w:r>
        <w:rPr>
          <w:rFonts w:hint="eastAsia" w:ascii="宋体" w:hAnsi="宋体" w:eastAsia="宋体" w:cs="宋体"/>
          <w:sz w:val="24"/>
          <w:szCs w:val="24"/>
          <w:highlight w:val="none"/>
          <w:lang w:val="en-US" w:eastAsia="zh-CN"/>
        </w:rPr>
        <w:t>应仔细阅读和检查招标文件的全部内容。如发现缺页或附件不全，应及时向招标人提出，以便补齐。如有疑问，应按</w:t>
      </w:r>
      <w:r>
        <w:rPr>
          <w:rFonts w:hint="eastAsia" w:cs="宋体"/>
          <w:sz w:val="24"/>
          <w:szCs w:val="24"/>
          <w:highlight w:val="none"/>
          <w:lang w:val="en-US" w:eastAsia="zh-CN"/>
        </w:rPr>
        <w:t>供应商</w:t>
      </w:r>
      <w:r>
        <w:rPr>
          <w:rFonts w:hint="eastAsia" w:ascii="宋体" w:hAnsi="宋体" w:eastAsia="宋体" w:cs="宋体"/>
          <w:sz w:val="24"/>
          <w:szCs w:val="24"/>
          <w:highlight w:val="none"/>
          <w:lang w:val="en-US" w:eastAsia="zh-CN"/>
        </w:rPr>
        <w:t>须知前附表规定的时间和形式将提出的问题送达招标人，要求招标人对招标文件予以澄清。</w:t>
      </w:r>
    </w:p>
    <w:p w14:paraId="3B00EFC3">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360" w:lineRule="auto"/>
        <w:ind w:leftChars="200" w:right="0" w:rightChars="0"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2.2.2、招标文件的澄清以</w:t>
      </w:r>
      <w:r>
        <w:rPr>
          <w:rFonts w:hint="eastAsia" w:cs="宋体"/>
          <w:sz w:val="24"/>
          <w:szCs w:val="24"/>
          <w:highlight w:val="none"/>
          <w:lang w:val="en-US" w:eastAsia="zh-CN"/>
        </w:rPr>
        <w:t>供应商</w:t>
      </w:r>
      <w:r>
        <w:rPr>
          <w:rFonts w:hint="eastAsia" w:ascii="宋体" w:hAnsi="宋体" w:eastAsia="宋体" w:cs="宋体"/>
          <w:sz w:val="24"/>
          <w:szCs w:val="24"/>
          <w:highlight w:val="none"/>
          <w:lang w:val="en-US" w:eastAsia="zh-CN"/>
        </w:rPr>
        <w:t>须知前附表规定的形式发给所有购买招标文件的</w:t>
      </w:r>
      <w:r>
        <w:rPr>
          <w:rFonts w:hint="eastAsia" w:cs="宋体"/>
          <w:sz w:val="24"/>
          <w:szCs w:val="24"/>
          <w:highlight w:val="none"/>
          <w:lang w:val="en-US" w:eastAsia="zh-CN"/>
        </w:rPr>
        <w:t>供应商</w:t>
      </w:r>
      <w:r>
        <w:rPr>
          <w:rFonts w:hint="eastAsia" w:ascii="宋体" w:hAnsi="宋体" w:eastAsia="宋体" w:cs="宋体"/>
          <w:sz w:val="24"/>
          <w:szCs w:val="24"/>
          <w:highlight w:val="none"/>
          <w:lang w:val="en-US" w:eastAsia="zh-CN"/>
        </w:rPr>
        <w:t xml:space="preserve"> ，但不指明澄清问题的来源。澄清发出的时间距投标截止时间不足15 日，且澄清内容可能影响投标文件编制的，将相应延长投标截止时间。</w:t>
      </w:r>
    </w:p>
    <w:p w14:paraId="6C2D2F10">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360" w:lineRule="auto"/>
        <w:ind w:leftChars="200" w:right="0" w:rightChars="0"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w:t>
      </w:r>
      <w:r>
        <w:rPr>
          <w:rFonts w:hint="eastAsia" w:cs="宋体"/>
          <w:sz w:val="24"/>
          <w:szCs w:val="24"/>
          <w:highlight w:val="none"/>
          <w:lang w:val="en-US" w:eastAsia="zh-CN"/>
        </w:rPr>
        <w:t>供应商</w:t>
      </w:r>
      <w:r>
        <w:rPr>
          <w:rFonts w:hint="eastAsia" w:ascii="宋体" w:hAnsi="宋体" w:eastAsia="宋体" w:cs="宋体"/>
          <w:sz w:val="24"/>
          <w:szCs w:val="24"/>
          <w:highlight w:val="none"/>
          <w:lang w:val="en-US" w:eastAsia="zh-CN"/>
        </w:rPr>
        <w:t>在收到澄清后，应按</w:t>
      </w:r>
      <w:r>
        <w:rPr>
          <w:rFonts w:hint="eastAsia" w:cs="宋体"/>
          <w:sz w:val="24"/>
          <w:szCs w:val="24"/>
          <w:highlight w:val="none"/>
          <w:lang w:val="en-US" w:eastAsia="zh-CN"/>
        </w:rPr>
        <w:t>供应商</w:t>
      </w:r>
      <w:r>
        <w:rPr>
          <w:rFonts w:hint="eastAsia" w:ascii="宋体" w:hAnsi="宋体" w:eastAsia="宋体" w:cs="宋体"/>
          <w:sz w:val="24"/>
          <w:szCs w:val="24"/>
          <w:highlight w:val="none"/>
          <w:lang w:val="en-US" w:eastAsia="zh-CN"/>
        </w:rPr>
        <w:t>须知前附表规定的时间和形式通知招标人，确认己收到该澄清。</w:t>
      </w:r>
    </w:p>
    <w:p w14:paraId="448792A0">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360" w:lineRule="auto"/>
        <w:ind w:leftChars="200" w:right="0" w:rightChars="0"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2.2.4、除非招标人认为确有必要答复，否则，招标人有权拒绝回复</w:t>
      </w:r>
      <w:r>
        <w:rPr>
          <w:rFonts w:hint="eastAsia" w:cs="宋体"/>
          <w:sz w:val="24"/>
          <w:szCs w:val="24"/>
          <w:highlight w:val="none"/>
          <w:lang w:val="en-US" w:eastAsia="zh-CN"/>
        </w:rPr>
        <w:t>在</w:t>
      </w:r>
      <w:r>
        <w:rPr>
          <w:rFonts w:hint="eastAsia" w:ascii="宋体" w:hAnsi="宋体" w:eastAsia="宋体" w:cs="宋体"/>
          <w:sz w:val="24"/>
          <w:szCs w:val="24"/>
          <w:highlight w:val="none"/>
          <w:lang w:val="en-US" w:eastAsia="zh-CN"/>
        </w:rPr>
        <w:t>规定的时间后提出的任何澄清要求。</w:t>
      </w:r>
    </w:p>
    <w:p w14:paraId="070ABB04">
      <w:pPr>
        <w:pStyle w:val="59"/>
        <w:numPr>
          <w:ilvl w:val="0"/>
          <w:numId w:val="0"/>
        </w:numPr>
        <w:tabs>
          <w:tab w:val="left" w:pos="1638"/>
        </w:tabs>
        <w:spacing w:before="156" w:after="0" w:line="360" w:lineRule="auto"/>
        <w:ind w:right="0" w:right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2.3、</w:t>
      </w:r>
      <w:r>
        <w:rPr>
          <w:rFonts w:hint="eastAsia" w:ascii="宋体" w:hAnsi="宋体" w:eastAsia="宋体" w:cs="宋体"/>
          <w:b/>
          <w:sz w:val="24"/>
          <w:szCs w:val="24"/>
          <w:highlight w:val="none"/>
          <w:lang w:eastAsia="zh-CN"/>
        </w:rPr>
        <w:t>招标文件</w:t>
      </w:r>
      <w:r>
        <w:rPr>
          <w:rFonts w:hint="eastAsia" w:ascii="宋体" w:hAnsi="宋体" w:eastAsia="宋体" w:cs="宋体"/>
          <w:b/>
          <w:sz w:val="24"/>
          <w:szCs w:val="24"/>
          <w:highlight w:val="none"/>
        </w:rPr>
        <w:t>的修改</w:t>
      </w:r>
    </w:p>
    <w:p w14:paraId="749FCA0E">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360" w:lineRule="auto"/>
        <w:ind w:leftChars="200" w:right="0" w:rightChars="0"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2.3.1、招标人以</w:t>
      </w:r>
      <w:r>
        <w:rPr>
          <w:rFonts w:hint="eastAsia" w:cs="宋体"/>
          <w:sz w:val="24"/>
          <w:szCs w:val="24"/>
          <w:highlight w:val="none"/>
          <w:lang w:val="en-US" w:eastAsia="zh-CN"/>
        </w:rPr>
        <w:t>供应商</w:t>
      </w:r>
      <w:r>
        <w:rPr>
          <w:rFonts w:hint="eastAsia" w:ascii="宋体" w:hAnsi="宋体" w:eastAsia="宋体" w:cs="宋体"/>
          <w:sz w:val="24"/>
          <w:szCs w:val="24"/>
          <w:highlight w:val="none"/>
          <w:lang w:val="en-US" w:eastAsia="zh-CN"/>
        </w:rPr>
        <w:t>须知前附表规定的形式修改招标文件。修改招标文件的时间距本章规定的投标截止时间不足 15 日，且修改内容可能影响投标文件编制的，将相应延长投标截止时间。</w:t>
      </w:r>
    </w:p>
    <w:p w14:paraId="45BAE69F">
      <w:pPr>
        <w:spacing w:before="2" w:line="360" w:lineRule="auto"/>
        <w:ind w:left="5" w:right="10" w:firstLine="417"/>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14:textOutline w14:w="3352" w14:cap="rnd" w14:cmpd="sng" w14:algn="ctr">
            <w14:solidFill>
              <w14:srgbClr w14:val="000000"/>
            </w14:solidFill>
            <w14:prstDash w14:val="solid"/>
            <w14:round/>
          </w14:textOutline>
        </w:rPr>
        <w:t>2.</w:t>
      </w:r>
      <w:r>
        <w:rPr>
          <w:rFonts w:hint="eastAsia" w:ascii="宋体" w:hAnsi="宋体" w:eastAsia="宋体" w:cs="宋体"/>
          <w:b w:val="0"/>
          <w:bCs w:val="0"/>
          <w:spacing w:val="1"/>
          <w:sz w:val="24"/>
          <w:szCs w:val="24"/>
          <w:highlight w:val="none"/>
          <w:lang w:val="en-US" w:eastAsia="zh-CN"/>
          <w14:textOutline w14:w="3352" w14:cap="rnd" w14:cmpd="sng" w14:algn="ctr">
            <w14:solidFill>
              <w14:srgbClr w14:val="000000"/>
            </w14:solidFill>
            <w14:prstDash w14:val="solid"/>
            <w14:round/>
          </w14:textOutline>
        </w:rPr>
        <w:t>3</w:t>
      </w:r>
      <w:r>
        <w:rPr>
          <w:rFonts w:hint="eastAsia" w:ascii="宋体" w:hAnsi="宋体" w:eastAsia="宋体" w:cs="宋体"/>
          <w:b w:val="0"/>
          <w:bCs w:val="0"/>
          <w:spacing w:val="1"/>
          <w:sz w:val="24"/>
          <w:szCs w:val="24"/>
          <w:highlight w:val="none"/>
          <w14:textOutline w14:w="3352" w14:cap="rnd" w14:cmpd="sng" w14:algn="ctr">
            <w14:solidFill>
              <w14:srgbClr w14:val="000000"/>
            </w14:solidFill>
            <w14:prstDash w14:val="solid"/>
            <w14:round/>
          </w14:textOutline>
        </w:rPr>
        <w:t>.</w:t>
      </w:r>
      <w:r>
        <w:rPr>
          <w:rFonts w:hint="eastAsia" w:ascii="宋体" w:hAnsi="宋体" w:eastAsia="宋体" w:cs="宋体"/>
          <w:b w:val="0"/>
          <w:bCs w:val="0"/>
          <w:spacing w:val="1"/>
          <w:sz w:val="24"/>
          <w:szCs w:val="24"/>
          <w:highlight w:val="none"/>
          <w:lang w:val="en-US" w:eastAsia="zh-CN"/>
          <w14:textOutline w14:w="3352" w14:cap="rnd" w14:cmpd="sng" w14:algn="ctr">
            <w14:solidFill>
              <w14:srgbClr w14:val="000000"/>
            </w14:solidFill>
            <w14:prstDash w14:val="solid"/>
            <w14:round/>
          </w14:textOutline>
        </w:rPr>
        <w:t>2</w:t>
      </w:r>
      <w:r>
        <w:rPr>
          <w:rFonts w:hint="eastAsia" w:ascii="宋体" w:hAnsi="宋体" w:eastAsia="宋体" w:cs="宋体"/>
          <w:b w:val="0"/>
          <w:bCs w:val="0"/>
          <w:spacing w:val="1"/>
          <w:sz w:val="24"/>
          <w:szCs w:val="24"/>
          <w:highlight w:val="none"/>
          <w14:textOutline w14:w="3352" w14:cap="rnd" w14:cmpd="sng" w14:algn="ctr">
            <w14:solidFill>
              <w14:srgbClr w14:val="000000"/>
            </w14:solidFill>
            <w14:prstDash w14:val="solid"/>
            <w14:round/>
          </w14:textOutline>
        </w:rPr>
        <w:t>.因在全流程电子化政府采购活动中，采购</w:t>
      </w:r>
      <w:r>
        <w:rPr>
          <w:rFonts w:hint="eastAsia" w:ascii="宋体" w:hAnsi="宋体" w:eastAsia="宋体" w:cs="宋体"/>
          <w:b w:val="0"/>
          <w:bCs w:val="0"/>
          <w:sz w:val="24"/>
          <w:szCs w:val="24"/>
          <w:highlight w:val="none"/>
          <w14:textOutline w14:w="3352" w14:cap="rnd" w14:cmpd="sng" w14:algn="ctr">
            <w14:solidFill>
              <w14:srgbClr w14:val="000000"/>
            </w14:solidFill>
            <w14:prstDash w14:val="solid"/>
            <w14:round/>
          </w14:textOutline>
        </w:rPr>
        <w:t>人及招标采购代理机构均无法获取报名信息，</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2"/>
          <w:sz w:val="24"/>
          <w:szCs w:val="24"/>
          <w:highlight w:val="none"/>
          <w14:textOutline w14:w="3352" w14:cap="rnd" w14:cmpd="sng" w14:algn="ctr">
            <w14:solidFill>
              <w14:srgbClr w14:val="000000"/>
            </w14:solidFill>
            <w14:prstDash w14:val="solid"/>
            <w14:round/>
          </w14:textOutline>
        </w:rPr>
        <w:t>因此采购人及招标采购代理机构无法直接向潜在供</w:t>
      </w:r>
      <w:r>
        <w:rPr>
          <w:rFonts w:hint="eastAsia" w:ascii="宋体" w:hAnsi="宋体" w:eastAsia="宋体" w:cs="宋体"/>
          <w:b w:val="0"/>
          <w:bCs w:val="0"/>
          <w:spacing w:val="1"/>
          <w:sz w:val="24"/>
          <w:szCs w:val="24"/>
          <w:highlight w:val="none"/>
          <w14:textOutline w14:w="3352" w14:cap="rnd" w14:cmpd="sng" w14:algn="ctr">
            <w14:solidFill>
              <w14:srgbClr w14:val="000000"/>
            </w14:solidFill>
            <w14:prstDash w14:val="solid"/>
            <w14:round/>
          </w14:textOutline>
        </w:rPr>
        <w:t>应商告知</w:t>
      </w:r>
      <w:r>
        <w:rPr>
          <w:rFonts w:hint="eastAsia" w:ascii="宋体" w:hAnsi="宋体" w:eastAsia="宋体" w:cs="宋体"/>
          <w:b w:val="0"/>
          <w:bCs w:val="0"/>
          <w:spacing w:val="1"/>
          <w:sz w:val="24"/>
          <w:szCs w:val="24"/>
          <w:highlight w:val="none"/>
          <w:lang w:eastAsia="zh-CN"/>
          <w14:textOutline w14:w="3352" w14:cap="rnd" w14:cmpd="sng" w14:algn="ctr">
            <w14:solidFill>
              <w14:srgbClr w14:val="000000"/>
            </w14:solidFill>
            <w14:prstDash w14:val="solid"/>
            <w14:round/>
          </w14:textOutline>
        </w:rPr>
        <w:t>招标文件</w:t>
      </w:r>
      <w:r>
        <w:rPr>
          <w:rFonts w:hint="eastAsia" w:ascii="宋体" w:hAnsi="宋体" w:eastAsia="宋体" w:cs="宋体"/>
          <w:b w:val="0"/>
          <w:bCs w:val="0"/>
          <w:spacing w:val="1"/>
          <w:sz w:val="24"/>
          <w:szCs w:val="24"/>
          <w:highlight w:val="none"/>
          <w14:textOutline w14:w="3352" w14:cap="rnd" w14:cmpd="sng" w14:algn="ctr">
            <w14:solidFill>
              <w14:srgbClr w14:val="000000"/>
            </w14:solidFill>
            <w14:prstDash w14:val="solid"/>
            <w14:round/>
          </w14:textOutline>
        </w:rPr>
        <w:t>的澄清与修改内容，潜在供应商应自行注意查看</w:t>
      </w:r>
      <w:r>
        <w:rPr>
          <w:rFonts w:hint="eastAsia" w:ascii="宋体" w:hAnsi="宋体" w:cs="宋体"/>
          <w:b w:val="0"/>
          <w:bCs w:val="0"/>
          <w:spacing w:val="1"/>
          <w:sz w:val="24"/>
          <w:szCs w:val="24"/>
          <w:highlight w:val="none"/>
          <w:lang w:val="en-US" w:eastAsia="zh-CN"/>
          <w14:textOutline w14:w="3352" w14:cap="rnd" w14:cmpd="sng" w14:algn="ctr">
            <w14:solidFill>
              <w14:srgbClr w14:val="000000"/>
            </w14:solidFill>
            <w14:prstDash w14:val="solid"/>
            <w14:round/>
          </w14:textOutline>
        </w:rPr>
        <w:t>商丘市</w:t>
      </w:r>
      <w:r>
        <w:rPr>
          <w:rFonts w:hint="eastAsia" w:ascii="宋体" w:hAnsi="宋体" w:eastAsia="宋体" w:cs="宋体"/>
          <w:b w:val="0"/>
          <w:bCs w:val="0"/>
          <w:sz w:val="24"/>
          <w:szCs w:val="24"/>
          <w:highlight w:val="none"/>
          <w14:textOutline w14:w="3352" w14:cap="rnd" w14:cmpd="sng" w14:algn="ctr">
            <w14:solidFill>
              <w14:srgbClr w14:val="000000"/>
            </w14:solidFill>
            <w14:prstDash w14:val="solid"/>
            <w14:round/>
          </w14:textOutline>
        </w:rPr>
        <w:t>公共资源交易公共服务平台上该项目相关信息，</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1"/>
          <w:sz w:val="24"/>
          <w:szCs w:val="24"/>
          <w:highlight w:val="none"/>
          <w14:textOutline w14:w="3352" w14:cap="rnd" w14:cmpd="sng" w14:algn="ctr">
            <w14:solidFill>
              <w14:srgbClr w14:val="000000"/>
            </w14:solidFill>
            <w14:prstDash w14:val="solid"/>
            <w14:round/>
          </w14:textOutline>
        </w:rPr>
        <w:t>否则产生任何不利后果</w:t>
      </w:r>
      <w:r>
        <w:rPr>
          <w:rFonts w:hint="eastAsia" w:ascii="宋体" w:hAnsi="宋体" w:eastAsia="宋体" w:cs="宋体"/>
          <w:b w:val="0"/>
          <w:bCs w:val="0"/>
          <w:sz w:val="24"/>
          <w:szCs w:val="24"/>
          <w:highlight w:val="none"/>
          <w14:textOutline w14:w="3352" w14:cap="rnd" w14:cmpd="sng" w14:algn="ctr">
            <w14:solidFill>
              <w14:srgbClr w14:val="000000"/>
            </w14:solidFill>
            <w14:prstDash w14:val="solid"/>
            <w14:round/>
          </w14:textOutline>
        </w:rPr>
        <w:t>由供应商自行承担。</w:t>
      </w:r>
    </w:p>
    <w:p w14:paraId="2F3423AD">
      <w:pPr>
        <w:pStyle w:val="59"/>
        <w:numPr>
          <w:ilvl w:val="0"/>
          <w:numId w:val="0"/>
        </w:numPr>
        <w:tabs>
          <w:tab w:val="left" w:pos="1638"/>
        </w:tabs>
        <w:spacing w:before="156" w:after="0" w:line="360" w:lineRule="auto"/>
        <w:ind w:right="0" w:rightChars="0"/>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2.4、对招标文件的异议</w:t>
      </w:r>
    </w:p>
    <w:p w14:paraId="6D311E4A">
      <w:pPr>
        <w:spacing w:before="155" w:line="360" w:lineRule="auto"/>
        <w:ind w:right="0" w:firstLine="480" w:firstLineChars="200"/>
        <w:jc w:val="left"/>
        <w:rPr>
          <w:rFonts w:hint="eastAsia" w:ascii="宋体" w:hAnsi="宋体" w:eastAsia="宋体" w:cs="宋体"/>
          <w:kern w:val="2"/>
          <w:sz w:val="24"/>
          <w:szCs w:val="24"/>
          <w:highlight w:val="none"/>
          <w:lang w:val="zh-CN" w:eastAsia="zh-CN" w:bidi="zh-CN"/>
        </w:rPr>
      </w:pPr>
      <w:r>
        <w:rPr>
          <w:rFonts w:hint="eastAsia" w:ascii="宋体" w:hAnsi="宋体" w:cs="宋体"/>
          <w:kern w:val="2"/>
          <w:sz w:val="24"/>
          <w:szCs w:val="24"/>
          <w:highlight w:val="none"/>
          <w:lang w:val="zh-CN" w:eastAsia="zh-CN" w:bidi="zh-CN"/>
        </w:rPr>
        <w:t>供应商</w:t>
      </w:r>
      <w:r>
        <w:rPr>
          <w:rFonts w:hint="eastAsia" w:ascii="宋体" w:hAnsi="宋体" w:eastAsia="宋体" w:cs="宋体"/>
          <w:kern w:val="2"/>
          <w:sz w:val="24"/>
          <w:szCs w:val="24"/>
          <w:highlight w:val="none"/>
          <w:lang w:val="zh-CN" w:eastAsia="zh-CN" w:bidi="zh-CN"/>
        </w:rPr>
        <w:t>或其他利害关系人对招标文件有异议的，应在投标截止时间 10 日前以书面形式提出。</w:t>
      </w:r>
    </w:p>
    <w:p w14:paraId="192D928D">
      <w:pPr>
        <w:pStyle w:val="59"/>
        <w:numPr>
          <w:ilvl w:val="0"/>
          <w:numId w:val="0"/>
        </w:numPr>
        <w:tabs>
          <w:tab w:val="left" w:pos="1638"/>
        </w:tabs>
        <w:spacing w:before="156" w:after="0" w:line="360" w:lineRule="auto"/>
        <w:ind w:right="0" w:rightChars="0"/>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3.投标文件</w:t>
      </w:r>
    </w:p>
    <w:p w14:paraId="16513DE3">
      <w:pPr>
        <w:pStyle w:val="59"/>
        <w:numPr>
          <w:ilvl w:val="0"/>
          <w:numId w:val="0"/>
        </w:numPr>
        <w:tabs>
          <w:tab w:val="left" w:pos="1638"/>
        </w:tabs>
        <w:spacing w:before="156" w:after="0" w:line="360" w:lineRule="auto"/>
        <w:ind w:right="0" w:rightChars="0"/>
        <w:jc w:val="left"/>
        <w:rPr>
          <w:rFonts w:hint="eastAsia" w:ascii="宋体" w:hAnsi="宋体" w:eastAsia="宋体" w:cs="宋体"/>
          <w:w w:val="105"/>
          <w:kern w:val="2"/>
          <w:sz w:val="24"/>
          <w:szCs w:val="24"/>
          <w:highlight w:val="none"/>
          <w:lang w:val="zh-CN" w:eastAsia="zh-CN" w:bidi="zh-CN"/>
        </w:rPr>
      </w:pPr>
      <w:r>
        <w:rPr>
          <w:rFonts w:hint="eastAsia" w:ascii="宋体" w:hAnsi="宋体" w:eastAsia="宋体" w:cs="宋体"/>
          <w:b/>
          <w:sz w:val="24"/>
          <w:szCs w:val="24"/>
          <w:highlight w:val="none"/>
          <w:lang w:val="en-US" w:eastAsia="zh-CN"/>
        </w:rPr>
        <w:t>3.1投标文件的组成</w:t>
      </w:r>
    </w:p>
    <w:p w14:paraId="791854EB">
      <w:pPr>
        <w:spacing w:before="155" w:line="360" w:lineRule="auto"/>
        <w:ind w:right="0" w:firstLine="504" w:firstLineChars="200"/>
        <w:jc w:val="left"/>
        <w:rPr>
          <w:rFonts w:hint="eastAsia" w:ascii="宋体" w:hAnsi="宋体" w:eastAsia="宋体" w:cs="宋体"/>
          <w:w w:val="105"/>
          <w:kern w:val="2"/>
          <w:sz w:val="24"/>
          <w:szCs w:val="24"/>
          <w:highlight w:val="none"/>
          <w:lang w:val="zh-CN" w:eastAsia="zh-CN" w:bidi="zh-CN"/>
        </w:rPr>
      </w:pPr>
      <w:r>
        <w:rPr>
          <w:rFonts w:hint="eastAsia" w:ascii="宋体" w:hAnsi="宋体" w:eastAsia="宋体" w:cs="宋体"/>
          <w:w w:val="105"/>
          <w:kern w:val="2"/>
          <w:sz w:val="24"/>
          <w:szCs w:val="24"/>
          <w:highlight w:val="none"/>
          <w:lang w:val="en-US" w:eastAsia="zh-CN" w:bidi="zh-CN"/>
        </w:rPr>
        <w:t>3.1.1</w:t>
      </w:r>
      <w:r>
        <w:rPr>
          <w:rFonts w:hint="eastAsia" w:ascii="宋体" w:hAnsi="宋体" w:eastAsia="宋体" w:cs="宋体"/>
          <w:w w:val="105"/>
          <w:kern w:val="2"/>
          <w:sz w:val="24"/>
          <w:szCs w:val="24"/>
          <w:highlight w:val="none"/>
          <w:lang w:val="zh-CN" w:eastAsia="zh-CN" w:bidi="zh-CN"/>
        </w:rPr>
        <w:t xml:space="preserve">投标文件应包括下列内容： </w:t>
      </w:r>
    </w:p>
    <w:p w14:paraId="170641E4">
      <w:pPr>
        <w:pStyle w:val="59"/>
        <w:numPr>
          <w:ilvl w:val="0"/>
          <w:numId w:val="0"/>
        </w:numPr>
        <w:tabs>
          <w:tab w:val="left" w:pos="1430"/>
        </w:tabs>
        <w:spacing w:before="159" w:after="0" w:line="381" w:lineRule="auto"/>
        <w:ind w:left="761" w:leftChars="0" w:right="24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（1）投标函 </w:t>
      </w:r>
    </w:p>
    <w:p w14:paraId="34D4677A">
      <w:pPr>
        <w:pStyle w:val="59"/>
        <w:numPr>
          <w:ilvl w:val="0"/>
          <w:numId w:val="0"/>
        </w:numPr>
        <w:tabs>
          <w:tab w:val="left" w:pos="1430"/>
        </w:tabs>
        <w:spacing w:before="159" w:after="0" w:line="381" w:lineRule="auto"/>
        <w:ind w:left="761" w:leftChars="0" w:right="24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（2）投标函附录 </w:t>
      </w:r>
    </w:p>
    <w:p w14:paraId="1C910823">
      <w:pPr>
        <w:pStyle w:val="59"/>
        <w:numPr>
          <w:ilvl w:val="0"/>
          <w:numId w:val="0"/>
        </w:numPr>
        <w:tabs>
          <w:tab w:val="left" w:pos="1430"/>
        </w:tabs>
        <w:spacing w:before="159" w:after="0" w:line="381" w:lineRule="auto"/>
        <w:ind w:left="761" w:leftChars="0" w:right="24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法定代表人</w:t>
      </w:r>
      <w:r>
        <w:rPr>
          <w:rFonts w:hint="eastAsia" w:ascii="宋体" w:hAnsi="宋体" w:eastAsia="宋体" w:cs="宋体"/>
          <w:sz w:val="24"/>
          <w:szCs w:val="24"/>
          <w:highlight w:val="none"/>
          <w:lang w:val="en-US" w:eastAsia="zh-CN"/>
        </w:rPr>
        <w:t xml:space="preserve">身份证明 </w:t>
      </w:r>
    </w:p>
    <w:p w14:paraId="586041CD">
      <w:pPr>
        <w:pStyle w:val="59"/>
        <w:numPr>
          <w:ilvl w:val="0"/>
          <w:numId w:val="0"/>
        </w:numPr>
        <w:tabs>
          <w:tab w:val="left" w:pos="1430"/>
        </w:tabs>
        <w:spacing w:before="159" w:after="0" w:line="381" w:lineRule="auto"/>
        <w:ind w:left="761" w:leftChars="0" w:right="24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（4）授权委托书 </w:t>
      </w:r>
    </w:p>
    <w:p w14:paraId="09E5CCA1">
      <w:pPr>
        <w:pStyle w:val="59"/>
        <w:numPr>
          <w:ilvl w:val="0"/>
          <w:numId w:val="0"/>
        </w:numPr>
        <w:tabs>
          <w:tab w:val="left" w:pos="1430"/>
        </w:tabs>
        <w:spacing w:before="159" w:after="0" w:line="381" w:lineRule="auto"/>
        <w:ind w:left="761" w:leftChars="0" w:right="240" w:right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cs="宋体"/>
          <w:sz w:val="24"/>
          <w:szCs w:val="24"/>
          <w:highlight w:val="none"/>
          <w:lang w:val="en-US" w:eastAsia="zh-CN"/>
        </w:rPr>
        <w:t>类似项目业绩</w:t>
      </w:r>
    </w:p>
    <w:p w14:paraId="37104C68">
      <w:pPr>
        <w:pStyle w:val="59"/>
        <w:numPr>
          <w:ilvl w:val="0"/>
          <w:numId w:val="0"/>
        </w:numPr>
        <w:tabs>
          <w:tab w:val="left" w:pos="1430"/>
        </w:tabs>
        <w:spacing w:before="159" w:after="0" w:line="381" w:lineRule="auto"/>
        <w:ind w:left="761" w:leftChars="0" w:right="240" w:right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cs="宋体"/>
          <w:sz w:val="24"/>
          <w:szCs w:val="24"/>
          <w:highlight w:val="none"/>
          <w:lang w:val="en-US" w:eastAsia="zh-CN"/>
        </w:rPr>
        <w:t>货物清单一览表</w:t>
      </w:r>
    </w:p>
    <w:p w14:paraId="36EC047E">
      <w:pPr>
        <w:pStyle w:val="59"/>
        <w:numPr>
          <w:ilvl w:val="0"/>
          <w:numId w:val="0"/>
        </w:numPr>
        <w:tabs>
          <w:tab w:val="left" w:pos="1430"/>
        </w:tabs>
        <w:spacing w:before="159" w:after="0" w:line="381" w:lineRule="auto"/>
        <w:ind w:left="761" w:leftChars="0" w:right="240" w:right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技术文件</w:t>
      </w:r>
    </w:p>
    <w:p w14:paraId="66B14594">
      <w:pPr>
        <w:pStyle w:val="59"/>
        <w:numPr>
          <w:ilvl w:val="0"/>
          <w:numId w:val="0"/>
        </w:numPr>
        <w:tabs>
          <w:tab w:val="left" w:pos="1430"/>
        </w:tabs>
        <w:spacing w:before="159" w:after="0" w:line="381" w:lineRule="auto"/>
        <w:ind w:left="761" w:leftChars="0" w:right="240" w:right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技术偏离表</w:t>
      </w:r>
    </w:p>
    <w:p w14:paraId="0EE80022">
      <w:pPr>
        <w:pStyle w:val="59"/>
        <w:numPr>
          <w:ilvl w:val="0"/>
          <w:numId w:val="0"/>
        </w:numPr>
        <w:tabs>
          <w:tab w:val="left" w:pos="1430"/>
        </w:tabs>
        <w:spacing w:before="159" w:after="0" w:line="381" w:lineRule="auto"/>
        <w:ind w:left="761" w:leftChars="0" w:right="240" w:right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cs="宋体"/>
          <w:sz w:val="24"/>
          <w:szCs w:val="24"/>
          <w:highlight w:val="none"/>
          <w:lang w:val="en-US" w:eastAsia="zh-CN"/>
        </w:rPr>
        <w:t>资格审查材料</w:t>
      </w:r>
    </w:p>
    <w:p w14:paraId="231404FF">
      <w:pPr>
        <w:pStyle w:val="59"/>
        <w:numPr>
          <w:ilvl w:val="0"/>
          <w:numId w:val="0"/>
        </w:numPr>
        <w:tabs>
          <w:tab w:val="left" w:pos="1430"/>
        </w:tabs>
        <w:spacing w:before="159" w:after="0" w:line="381" w:lineRule="auto"/>
        <w:ind w:left="761" w:leftChars="0" w:right="24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10</w:t>
      </w:r>
      <w:r>
        <w:rPr>
          <w:rFonts w:hint="eastAsia" w:ascii="宋体" w:hAnsi="宋体" w:eastAsia="宋体" w:cs="宋体"/>
          <w:sz w:val="24"/>
          <w:szCs w:val="24"/>
          <w:highlight w:val="none"/>
          <w:lang w:val="en-US" w:eastAsia="zh-CN"/>
        </w:rPr>
        <w:t>）其他资料</w:t>
      </w:r>
    </w:p>
    <w:p w14:paraId="4B7538C0">
      <w:pPr>
        <w:pStyle w:val="59"/>
        <w:numPr>
          <w:ilvl w:val="0"/>
          <w:numId w:val="0"/>
        </w:numPr>
        <w:tabs>
          <w:tab w:val="left" w:pos="1638"/>
        </w:tabs>
        <w:spacing w:before="156" w:after="0" w:line="360" w:lineRule="auto"/>
        <w:ind w:right="0" w:rightChars="0"/>
        <w:jc w:val="left"/>
        <w:rPr>
          <w:rFonts w:hint="eastAsia" w:ascii="宋体" w:hAnsi="宋体" w:eastAsia="宋体" w:cs="宋体"/>
          <w:b/>
          <w:sz w:val="24"/>
          <w:szCs w:val="24"/>
          <w:highlight w:val="none"/>
          <w:lang w:val="zh-CN" w:eastAsia="zh-CN"/>
        </w:rPr>
      </w:pPr>
      <w:r>
        <w:rPr>
          <w:rFonts w:hint="eastAsia" w:ascii="宋体" w:hAnsi="宋体" w:eastAsia="宋体" w:cs="宋体"/>
          <w:b/>
          <w:sz w:val="24"/>
          <w:szCs w:val="24"/>
          <w:highlight w:val="none"/>
          <w:lang w:val="en-US" w:eastAsia="zh-CN"/>
        </w:rPr>
        <w:t>3.2.</w:t>
      </w:r>
      <w:r>
        <w:rPr>
          <w:rFonts w:hint="eastAsia" w:ascii="宋体" w:hAnsi="宋体" w:eastAsia="宋体" w:cs="宋体"/>
          <w:b/>
          <w:sz w:val="24"/>
          <w:szCs w:val="24"/>
          <w:highlight w:val="none"/>
          <w:lang w:val="zh-CN" w:eastAsia="zh-CN"/>
        </w:rPr>
        <w:t>投标报价</w:t>
      </w:r>
    </w:p>
    <w:p w14:paraId="053B63BE">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360" w:lineRule="auto"/>
        <w:ind w:leftChars="200" w:right="0" w:rightChars="0" w:firstLine="248"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pacing w:val="-2"/>
          <w:w w:val="105"/>
          <w:kern w:val="2"/>
          <w:sz w:val="24"/>
          <w:szCs w:val="24"/>
          <w:highlight w:val="none"/>
          <w:lang w:val="en-US" w:eastAsia="zh-CN" w:bidi="zh-CN"/>
        </w:rPr>
        <w:t>3.2.1.本项目的投标报价应按照招标文件、补充通知、答疑纪要、现场情况、采购范围等 ，并充分考虑市场风险和国家政策性调整等风险系数，由各供应商根据自身情况，</w:t>
      </w:r>
      <w:r>
        <w:rPr>
          <w:rFonts w:hint="eastAsia" w:ascii="宋体" w:hAnsi="宋体" w:eastAsia="宋体" w:cs="宋体"/>
          <w:sz w:val="24"/>
          <w:szCs w:val="24"/>
          <w:highlight w:val="none"/>
          <w:lang w:val="en-US" w:eastAsia="zh-CN"/>
        </w:rPr>
        <w:t>在合理范围内，自主考虑、优惠报价。</w:t>
      </w:r>
    </w:p>
    <w:p w14:paraId="57659717">
      <w:pPr>
        <w:pStyle w:val="59"/>
        <w:keepNext w:val="0"/>
        <w:keepLines w:val="0"/>
        <w:pageBreakBefore w:val="0"/>
        <w:widowControl w:val="0"/>
        <w:numPr>
          <w:ilvl w:val="0"/>
          <w:numId w:val="0"/>
        </w:numPr>
        <w:tabs>
          <w:tab w:val="left" w:pos="1638"/>
        </w:tabs>
        <w:kinsoku/>
        <w:wordWrap/>
        <w:overflowPunct/>
        <w:topLinePunct w:val="0"/>
        <w:autoSpaceDE/>
        <w:autoSpaceDN/>
        <w:bidi w:val="0"/>
        <w:adjustRightInd/>
        <w:snapToGrid/>
        <w:spacing w:before="156" w:after="0" w:line="360" w:lineRule="auto"/>
        <w:ind w:leftChars="200" w:right="0" w:rightChars="0"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3.2.2.报价一览表中的大写金额和小写金额不一致的，以大写金额为准。</w:t>
      </w:r>
    </w:p>
    <w:p w14:paraId="1F57EA07">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kern w:val="2"/>
          <w:sz w:val="24"/>
          <w:szCs w:val="24"/>
          <w:highlight w:val="none"/>
          <w:lang w:val="en-US" w:eastAsia="zh-CN" w:bidi="zh-CN"/>
        </w:rPr>
        <w:t>3.</w:t>
      </w:r>
      <w:r>
        <w:rPr>
          <w:rFonts w:hint="eastAsia" w:ascii="宋体" w:hAnsi="宋体" w:cs="宋体"/>
          <w:b/>
          <w:kern w:val="2"/>
          <w:sz w:val="24"/>
          <w:szCs w:val="24"/>
          <w:highlight w:val="none"/>
          <w:lang w:val="en-US" w:eastAsia="zh-CN" w:bidi="zh-CN"/>
        </w:rPr>
        <w:t>3</w:t>
      </w:r>
      <w:r>
        <w:rPr>
          <w:rFonts w:hint="eastAsia" w:ascii="宋体" w:hAnsi="宋体" w:eastAsia="宋体" w:cs="宋体"/>
          <w:b/>
          <w:kern w:val="2"/>
          <w:sz w:val="24"/>
          <w:szCs w:val="24"/>
          <w:highlight w:val="none"/>
          <w:lang w:val="en-US" w:eastAsia="zh-CN" w:bidi="zh-CN"/>
        </w:rPr>
        <w:t>.投标有效期</w:t>
      </w:r>
    </w:p>
    <w:p w14:paraId="665753E6">
      <w:pPr>
        <w:spacing w:line="360" w:lineRule="auto"/>
        <w:ind w:firstLine="248" w:firstLineChars="100"/>
        <w:jc w:val="left"/>
        <w:rPr>
          <w:rFonts w:hint="eastAsia" w:ascii="宋体" w:hAnsi="宋体" w:eastAsia="宋体" w:cs="宋体"/>
          <w:b w:val="0"/>
          <w:bCs w:val="0"/>
          <w:spacing w:val="-2"/>
          <w:w w:val="105"/>
          <w:kern w:val="2"/>
          <w:sz w:val="24"/>
          <w:szCs w:val="24"/>
          <w:highlight w:val="none"/>
          <w:lang w:val="en-US" w:eastAsia="zh-CN" w:bidi="zh-CN"/>
        </w:rPr>
      </w:pPr>
      <w:r>
        <w:rPr>
          <w:rFonts w:hint="eastAsia" w:ascii="宋体" w:hAnsi="宋体" w:eastAsia="宋体" w:cs="宋体"/>
          <w:b w:val="0"/>
          <w:bCs w:val="0"/>
          <w:spacing w:val="-2"/>
          <w:w w:val="105"/>
          <w:kern w:val="2"/>
          <w:sz w:val="24"/>
          <w:szCs w:val="24"/>
          <w:highlight w:val="none"/>
          <w:lang w:val="en-US" w:eastAsia="zh-CN" w:bidi="zh-CN"/>
        </w:rPr>
        <w:t>3.</w:t>
      </w:r>
      <w:r>
        <w:rPr>
          <w:rFonts w:hint="eastAsia" w:ascii="宋体" w:hAnsi="宋体" w:cs="宋体"/>
          <w:b w:val="0"/>
          <w:bCs w:val="0"/>
          <w:spacing w:val="-2"/>
          <w:w w:val="105"/>
          <w:kern w:val="2"/>
          <w:sz w:val="24"/>
          <w:szCs w:val="24"/>
          <w:highlight w:val="none"/>
          <w:lang w:val="en-US" w:eastAsia="zh-CN" w:bidi="zh-CN"/>
        </w:rPr>
        <w:t>3</w:t>
      </w:r>
      <w:r>
        <w:rPr>
          <w:rFonts w:hint="eastAsia" w:ascii="宋体" w:hAnsi="宋体" w:eastAsia="宋体" w:cs="宋体"/>
          <w:b w:val="0"/>
          <w:bCs w:val="0"/>
          <w:spacing w:val="-2"/>
          <w:w w:val="105"/>
          <w:kern w:val="2"/>
          <w:sz w:val="24"/>
          <w:szCs w:val="24"/>
          <w:highlight w:val="none"/>
          <w:lang w:val="en-US" w:eastAsia="zh-CN" w:bidi="zh-CN"/>
        </w:rPr>
        <w:t>.</w:t>
      </w:r>
      <w:r>
        <w:rPr>
          <w:rFonts w:hint="eastAsia" w:ascii="宋体" w:hAnsi="宋体" w:cs="宋体"/>
          <w:b w:val="0"/>
          <w:bCs w:val="0"/>
          <w:spacing w:val="-2"/>
          <w:w w:val="105"/>
          <w:kern w:val="2"/>
          <w:sz w:val="24"/>
          <w:szCs w:val="24"/>
          <w:highlight w:val="none"/>
          <w:lang w:val="en-US" w:eastAsia="zh-CN" w:bidi="zh-CN"/>
        </w:rPr>
        <w:t xml:space="preserve">1 </w:t>
      </w:r>
      <w:r>
        <w:rPr>
          <w:rFonts w:hint="eastAsia" w:ascii="宋体" w:hAnsi="宋体" w:eastAsia="宋体" w:cs="宋体"/>
          <w:b w:val="0"/>
          <w:bCs w:val="0"/>
          <w:spacing w:val="-2"/>
          <w:w w:val="105"/>
          <w:kern w:val="2"/>
          <w:sz w:val="24"/>
          <w:szCs w:val="24"/>
          <w:highlight w:val="none"/>
          <w:lang w:val="en-US" w:eastAsia="zh-CN" w:bidi="zh-CN"/>
        </w:rPr>
        <w:t>在投标有效期内，供应商撤销投标文件的，应承担招标文件和法律规定的责任。</w:t>
      </w:r>
    </w:p>
    <w:p w14:paraId="08294A21">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3.4 </w:t>
      </w:r>
      <w:r>
        <w:rPr>
          <w:rFonts w:hint="eastAsia" w:ascii="宋体" w:hAnsi="宋体" w:eastAsia="宋体" w:cs="宋体"/>
          <w:b/>
          <w:bCs/>
          <w:color w:val="000000"/>
          <w:sz w:val="24"/>
          <w:szCs w:val="24"/>
          <w:highlight w:val="none"/>
          <w:lang w:val="en-US" w:eastAsia="zh-CN"/>
        </w:rPr>
        <w:t>投标</w:t>
      </w:r>
      <w:r>
        <w:rPr>
          <w:rFonts w:hint="eastAsia" w:ascii="宋体" w:hAnsi="宋体" w:eastAsia="宋体" w:cs="宋体"/>
          <w:b/>
          <w:bCs/>
          <w:color w:val="000000"/>
          <w:sz w:val="24"/>
          <w:szCs w:val="24"/>
          <w:highlight w:val="none"/>
        </w:rPr>
        <w:t>文件的编制</w:t>
      </w:r>
      <w:bookmarkStart w:id="5" w:name="_Toc10312"/>
    </w:p>
    <w:p w14:paraId="5FE226DD">
      <w:pPr>
        <w:spacing w:line="360" w:lineRule="auto"/>
        <w:ind w:firstLine="248" w:firstLineChars="100"/>
        <w:jc w:val="left"/>
        <w:rPr>
          <w:rFonts w:hint="eastAsia" w:ascii="宋体" w:hAnsi="宋体" w:eastAsia="宋体" w:cs="宋体"/>
          <w:b w:val="0"/>
          <w:bCs w:val="0"/>
          <w:spacing w:val="-2"/>
          <w:w w:val="105"/>
          <w:kern w:val="2"/>
          <w:sz w:val="24"/>
          <w:szCs w:val="24"/>
          <w:highlight w:val="none"/>
          <w:lang w:val="en-US" w:eastAsia="zh-CN" w:bidi="zh-CN"/>
        </w:rPr>
      </w:pPr>
      <w:r>
        <w:rPr>
          <w:rFonts w:hint="eastAsia" w:ascii="宋体" w:hAnsi="宋体" w:eastAsia="宋体" w:cs="宋体"/>
          <w:b w:val="0"/>
          <w:bCs w:val="0"/>
          <w:spacing w:val="-2"/>
          <w:w w:val="105"/>
          <w:kern w:val="2"/>
          <w:sz w:val="24"/>
          <w:szCs w:val="24"/>
          <w:highlight w:val="none"/>
          <w:lang w:val="en-US" w:eastAsia="zh-CN" w:bidi="zh-CN"/>
        </w:rPr>
        <w:t>3.4.1 投标文件应按第六章“投标文件格式”进行编写，如有必要，可以增加附页，作为商投标文件的组成部分。其中，报价函附录在满足招标文件实质性要求的基础上，可以提出比招标文件要求更有利于采购人的承诺。</w:t>
      </w:r>
      <w:bookmarkEnd w:id="5"/>
      <w:bookmarkStart w:id="6" w:name="_Toc12856"/>
    </w:p>
    <w:p w14:paraId="1A382D81">
      <w:pPr>
        <w:spacing w:line="360" w:lineRule="auto"/>
        <w:ind w:firstLine="240" w:firstLineChars="1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3.4.2 </w:t>
      </w:r>
      <w:r>
        <w:rPr>
          <w:rFonts w:hint="eastAsia" w:ascii="宋体" w:hAnsi="宋体" w:eastAsia="宋体" w:cs="宋体"/>
          <w:b w:val="0"/>
          <w:bCs w:val="0"/>
          <w:color w:val="000000"/>
          <w:sz w:val="24"/>
          <w:szCs w:val="24"/>
          <w:highlight w:val="none"/>
          <w:lang w:eastAsia="zh-CN"/>
        </w:rPr>
        <w:t>投标文件</w:t>
      </w:r>
      <w:r>
        <w:rPr>
          <w:rFonts w:hint="eastAsia" w:ascii="宋体" w:hAnsi="宋体" w:eastAsia="宋体" w:cs="宋体"/>
          <w:b w:val="0"/>
          <w:bCs w:val="0"/>
          <w:color w:val="000000"/>
          <w:sz w:val="24"/>
          <w:szCs w:val="24"/>
          <w:highlight w:val="none"/>
        </w:rPr>
        <w:t>应当对</w:t>
      </w:r>
      <w:r>
        <w:rPr>
          <w:rFonts w:hint="eastAsia" w:ascii="宋体" w:hAnsi="宋体" w:eastAsia="宋体" w:cs="宋体"/>
          <w:b w:val="0"/>
          <w:bCs w:val="0"/>
          <w:color w:val="000000"/>
          <w:sz w:val="24"/>
          <w:szCs w:val="24"/>
          <w:highlight w:val="none"/>
          <w:lang w:val="en-US" w:eastAsia="zh-CN"/>
        </w:rPr>
        <w:t>招标文件</w:t>
      </w:r>
      <w:r>
        <w:rPr>
          <w:rFonts w:hint="eastAsia" w:ascii="宋体" w:hAnsi="宋体" w:cs="宋体"/>
          <w:b w:val="0"/>
          <w:bCs w:val="0"/>
          <w:color w:val="000000"/>
          <w:sz w:val="24"/>
          <w:szCs w:val="24"/>
          <w:highlight w:val="none"/>
          <w:lang w:val="en-US" w:eastAsia="zh-CN"/>
        </w:rPr>
        <w:t>的</w:t>
      </w:r>
      <w:r>
        <w:rPr>
          <w:rFonts w:hint="eastAsia" w:ascii="宋体" w:hAnsi="宋体" w:eastAsia="宋体" w:cs="宋体"/>
          <w:b w:val="0"/>
          <w:bCs w:val="0"/>
          <w:color w:val="000000"/>
          <w:sz w:val="24"/>
          <w:szCs w:val="24"/>
          <w:highlight w:val="none"/>
        </w:rPr>
        <w:t>实质性内容作出响应。</w:t>
      </w:r>
      <w:bookmarkEnd w:id="6"/>
      <w:bookmarkStart w:id="7" w:name="_Toc21457"/>
    </w:p>
    <w:p w14:paraId="4B923D87">
      <w:pPr>
        <w:spacing w:line="360" w:lineRule="auto"/>
        <w:ind w:firstLine="240" w:firstLineChars="1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3.4.3 </w:t>
      </w:r>
      <w:r>
        <w:rPr>
          <w:rFonts w:hint="eastAsia" w:ascii="宋体" w:hAnsi="宋体" w:eastAsia="宋体" w:cs="宋体"/>
          <w:b w:val="0"/>
          <w:bCs w:val="0"/>
          <w:color w:val="000000"/>
          <w:sz w:val="24"/>
          <w:szCs w:val="24"/>
          <w:highlight w:val="none"/>
          <w:lang w:eastAsia="zh-CN"/>
        </w:rPr>
        <w:t>投标文件</w:t>
      </w:r>
      <w:r>
        <w:rPr>
          <w:rFonts w:hint="eastAsia" w:ascii="宋体" w:hAnsi="宋体" w:eastAsia="宋体" w:cs="宋体"/>
          <w:b w:val="0"/>
          <w:bCs w:val="0"/>
          <w:color w:val="000000"/>
          <w:sz w:val="24"/>
          <w:szCs w:val="24"/>
          <w:highlight w:val="none"/>
        </w:rPr>
        <w:t>应按照规定的格式进行编写，其中系统自带格式按照系统填写，系统及文件未规定格式的，</w:t>
      </w:r>
      <w:r>
        <w:rPr>
          <w:rFonts w:hint="eastAsia" w:ascii="宋体" w:hAnsi="宋体" w:eastAsia="宋体" w:cs="宋体"/>
          <w:b w:val="0"/>
          <w:bCs w:val="0"/>
          <w:color w:val="000000"/>
          <w:sz w:val="24"/>
          <w:szCs w:val="24"/>
          <w:highlight w:val="none"/>
          <w:lang w:eastAsia="zh-CN"/>
        </w:rPr>
        <w:t>供应商</w:t>
      </w:r>
      <w:r>
        <w:rPr>
          <w:rFonts w:hint="eastAsia" w:ascii="宋体" w:hAnsi="宋体" w:eastAsia="宋体" w:cs="宋体"/>
          <w:b w:val="0"/>
          <w:bCs w:val="0"/>
          <w:color w:val="000000"/>
          <w:sz w:val="24"/>
          <w:szCs w:val="24"/>
          <w:highlight w:val="none"/>
        </w:rPr>
        <w:t>格式自拟；</w:t>
      </w:r>
      <w:r>
        <w:rPr>
          <w:rFonts w:hint="eastAsia" w:ascii="宋体" w:hAnsi="宋体" w:eastAsia="宋体" w:cs="宋体"/>
          <w:b w:val="0"/>
          <w:bCs w:val="0"/>
          <w:color w:val="000000"/>
          <w:sz w:val="24"/>
          <w:szCs w:val="24"/>
          <w:highlight w:val="none"/>
          <w:lang w:eastAsia="zh-CN"/>
        </w:rPr>
        <w:t>投标文件</w:t>
      </w:r>
      <w:r>
        <w:rPr>
          <w:rFonts w:hint="eastAsia" w:ascii="宋体" w:hAnsi="宋体" w:eastAsia="宋体" w:cs="宋体"/>
          <w:b w:val="0"/>
          <w:bCs w:val="0"/>
          <w:color w:val="000000"/>
          <w:sz w:val="24"/>
          <w:szCs w:val="24"/>
          <w:highlight w:val="none"/>
        </w:rPr>
        <w:t>需签字盖章之处由</w:t>
      </w:r>
      <w:r>
        <w:rPr>
          <w:rFonts w:hint="eastAsia" w:ascii="宋体" w:hAnsi="宋体" w:eastAsia="宋体" w:cs="宋体"/>
          <w:b w:val="0"/>
          <w:bCs w:val="0"/>
          <w:color w:val="000000"/>
          <w:sz w:val="24"/>
          <w:szCs w:val="24"/>
          <w:highlight w:val="none"/>
          <w:lang w:eastAsia="zh-CN"/>
        </w:rPr>
        <w:t>供应商</w:t>
      </w:r>
      <w:r>
        <w:rPr>
          <w:rFonts w:hint="eastAsia" w:ascii="宋体" w:hAnsi="宋体" w:eastAsia="宋体" w:cs="宋体"/>
          <w:b w:val="0"/>
          <w:bCs w:val="0"/>
          <w:color w:val="000000"/>
          <w:sz w:val="24"/>
          <w:szCs w:val="24"/>
          <w:highlight w:val="none"/>
        </w:rPr>
        <w:t>的</w:t>
      </w:r>
      <w:r>
        <w:rPr>
          <w:rFonts w:hint="eastAsia" w:ascii="宋体" w:hAnsi="宋体" w:cs="宋体"/>
          <w:b w:val="0"/>
          <w:bCs w:val="0"/>
          <w:color w:val="000000"/>
          <w:sz w:val="24"/>
          <w:szCs w:val="24"/>
          <w:highlight w:val="none"/>
          <w:lang w:eastAsia="zh-CN"/>
        </w:rPr>
        <w:t>法定代表人</w:t>
      </w:r>
      <w:r>
        <w:rPr>
          <w:rFonts w:hint="eastAsia" w:ascii="宋体" w:hAnsi="宋体" w:eastAsia="宋体" w:cs="宋体"/>
          <w:b w:val="0"/>
          <w:bCs w:val="0"/>
          <w:color w:val="000000"/>
          <w:sz w:val="24"/>
          <w:szCs w:val="24"/>
          <w:highlight w:val="none"/>
        </w:rPr>
        <w:t>或其委托代理人签字或盖章。委托代理人签字</w:t>
      </w:r>
      <w:r>
        <w:rPr>
          <w:rFonts w:hint="eastAsia" w:ascii="宋体" w:hAnsi="宋体" w:cs="宋体"/>
          <w:b w:val="0"/>
          <w:bCs w:val="0"/>
          <w:color w:val="000000"/>
          <w:sz w:val="24"/>
          <w:szCs w:val="24"/>
          <w:highlight w:val="none"/>
          <w:lang w:val="en-US" w:eastAsia="zh-CN"/>
        </w:rPr>
        <w:t>或盖章的</w:t>
      </w:r>
      <w:r>
        <w:rPr>
          <w:rFonts w:hint="eastAsia" w:ascii="宋体" w:hAnsi="宋体" w:eastAsia="宋体" w:cs="宋体"/>
          <w:b w:val="0"/>
          <w:bCs w:val="0"/>
          <w:color w:val="000000"/>
          <w:sz w:val="24"/>
          <w:szCs w:val="24"/>
          <w:highlight w:val="none"/>
        </w:rPr>
        <w:t>的，</w:t>
      </w:r>
      <w:r>
        <w:rPr>
          <w:rFonts w:hint="eastAsia" w:ascii="宋体" w:hAnsi="宋体" w:eastAsia="宋体" w:cs="宋体"/>
          <w:b w:val="0"/>
          <w:bCs w:val="0"/>
          <w:color w:val="000000"/>
          <w:sz w:val="24"/>
          <w:szCs w:val="24"/>
          <w:highlight w:val="none"/>
          <w:lang w:eastAsia="zh-CN"/>
        </w:rPr>
        <w:t>投标文件</w:t>
      </w:r>
      <w:r>
        <w:rPr>
          <w:rFonts w:hint="eastAsia" w:ascii="宋体" w:hAnsi="宋体" w:eastAsia="宋体" w:cs="宋体"/>
          <w:b w:val="0"/>
          <w:bCs w:val="0"/>
          <w:color w:val="000000"/>
          <w:sz w:val="24"/>
          <w:szCs w:val="24"/>
          <w:highlight w:val="none"/>
        </w:rPr>
        <w:t>应附</w:t>
      </w:r>
      <w:r>
        <w:rPr>
          <w:rFonts w:hint="eastAsia" w:ascii="宋体" w:hAnsi="宋体" w:cs="宋体"/>
          <w:b w:val="0"/>
          <w:bCs w:val="0"/>
          <w:color w:val="000000"/>
          <w:sz w:val="24"/>
          <w:szCs w:val="24"/>
          <w:highlight w:val="none"/>
          <w:lang w:eastAsia="zh-CN"/>
        </w:rPr>
        <w:t>法定代表人</w:t>
      </w:r>
      <w:r>
        <w:rPr>
          <w:rFonts w:hint="eastAsia" w:ascii="宋体" w:hAnsi="宋体" w:eastAsia="宋体" w:cs="宋体"/>
          <w:b w:val="0"/>
          <w:bCs w:val="0"/>
          <w:color w:val="000000"/>
          <w:sz w:val="24"/>
          <w:szCs w:val="24"/>
          <w:highlight w:val="none"/>
        </w:rPr>
        <w:t>签署的授权委托书。</w:t>
      </w:r>
      <w:r>
        <w:rPr>
          <w:rFonts w:hint="eastAsia" w:ascii="宋体" w:hAnsi="宋体" w:eastAsia="宋体" w:cs="宋体"/>
          <w:b w:val="0"/>
          <w:bCs w:val="0"/>
          <w:color w:val="000000"/>
          <w:sz w:val="24"/>
          <w:szCs w:val="24"/>
          <w:highlight w:val="none"/>
          <w:lang w:eastAsia="zh-CN"/>
        </w:rPr>
        <w:t>投标文件</w:t>
      </w:r>
      <w:r>
        <w:rPr>
          <w:rFonts w:hint="eastAsia" w:ascii="宋体" w:hAnsi="宋体" w:eastAsia="宋体" w:cs="宋体"/>
          <w:b w:val="0"/>
          <w:bCs w:val="0"/>
          <w:color w:val="000000"/>
          <w:sz w:val="24"/>
          <w:szCs w:val="24"/>
          <w:highlight w:val="none"/>
        </w:rPr>
        <w:t>应尽量避免涂改、行间插字或删除。如果出现上述情况，改动之处应加盖单位</w:t>
      </w:r>
      <w:r>
        <w:rPr>
          <w:rFonts w:hint="eastAsia" w:ascii="宋体" w:hAnsi="宋体" w:cs="宋体"/>
          <w:b w:val="0"/>
          <w:bCs w:val="0"/>
          <w:color w:val="000000"/>
          <w:sz w:val="24"/>
          <w:szCs w:val="24"/>
          <w:highlight w:val="none"/>
          <w:lang w:val="en-US" w:eastAsia="zh-CN"/>
        </w:rPr>
        <w:t>公章</w:t>
      </w:r>
      <w:r>
        <w:rPr>
          <w:rFonts w:hint="eastAsia" w:ascii="宋体" w:hAnsi="宋体" w:eastAsia="宋体" w:cs="宋体"/>
          <w:b w:val="0"/>
          <w:bCs w:val="0"/>
          <w:color w:val="000000"/>
          <w:sz w:val="24"/>
          <w:szCs w:val="24"/>
          <w:highlight w:val="none"/>
        </w:rPr>
        <w:t>或由</w:t>
      </w:r>
      <w:r>
        <w:rPr>
          <w:rFonts w:hint="eastAsia" w:ascii="宋体" w:hAnsi="宋体" w:eastAsia="宋体" w:cs="宋体"/>
          <w:b w:val="0"/>
          <w:bCs w:val="0"/>
          <w:color w:val="000000"/>
          <w:sz w:val="24"/>
          <w:szCs w:val="24"/>
          <w:highlight w:val="none"/>
          <w:lang w:eastAsia="zh-CN"/>
        </w:rPr>
        <w:t>供应商</w:t>
      </w:r>
      <w:r>
        <w:rPr>
          <w:rFonts w:hint="eastAsia" w:ascii="宋体" w:hAnsi="宋体" w:eastAsia="宋体" w:cs="宋体"/>
          <w:b w:val="0"/>
          <w:bCs w:val="0"/>
          <w:color w:val="000000"/>
          <w:sz w:val="24"/>
          <w:szCs w:val="24"/>
          <w:highlight w:val="none"/>
        </w:rPr>
        <w:t>的</w:t>
      </w:r>
      <w:r>
        <w:rPr>
          <w:rFonts w:hint="eastAsia" w:ascii="宋体" w:hAnsi="宋体" w:cs="宋体"/>
          <w:b w:val="0"/>
          <w:bCs w:val="0"/>
          <w:color w:val="000000"/>
          <w:sz w:val="24"/>
          <w:szCs w:val="24"/>
          <w:highlight w:val="none"/>
          <w:lang w:eastAsia="zh-CN"/>
        </w:rPr>
        <w:t>法定代表人</w:t>
      </w:r>
      <w:r>
        <w:rPr>
          <w:rFonts w:hint="eastAsia" w:ascii="宋体" w:hAnsi="宋体" w:eastAsia="宋体" w:cs="宋体"/>
          <w:b w:val="0"/>
          <w:bCs w:val="0"/>
          <w:color w:val="000000"/>
          <w:sz w:val="24"/>
          <w:szCs w:val="24"/>
          <w:highlight w:val="none"/>
        </w:rPr>
        <w:t>或其授权的代理人签字或盖章确认。</w:t>
      </w:r>
      <w:bookmarkEnd w:id="7"/>
    </w:p>
    <w:p w14:paraId="67BC0064">
      <w:pPr>
        <w:spacing w:line="360" w:lineRule="auto"/>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lang w:bidi="ar"/>
        </w:rPr>
        <w:t xml:space="preserve">四、 </w:t>
      </w:r>
      <w:r>
        <w:rPr>
          <w:rFonts w:hint="eastAsia" w:ascii="宋体" w:hAnsi="宋体" w:eastAsia="宋体" w:cs="宋体"/>
          <w:b/>
          <w:color w:val="000000"/>
          <w:sz w:val="24"/>
          <w:szCs w:val="24"/>
          <w:highlight w:val="none"/>
          <w:lang w:eastAsia="zh-CN" w:bidi="ar"/>
        </w:rPr>
        <w:t>投标文件</w:t>
      </w:r>
      <w:r>
        <w:rPr>
          <w:rFonts w:hint="eastAsia" w:ascii="宋体" w:hAnsi="宋体" w:eastAsia="宋体" w:cs="宋体"/>
          <w:b/>
          <w:color w:val="000000"/>
          <w:sz w:val="24"/>
          <w:szCs w:val="24"/>
          <w:highlight w:val="none"/>
          <w:lang w:bidi="ar"/>
        </w:rPr>
        <w:t xml:space="preserve">的递交 </w:t>
      </w:r>
    </w:p>
    <w:p w14:paraId="6E44F7FC">
      <w:pPr>
        <w:spacing w:before="69" w:line="360" w:lineRule="auto"/>
        <w:ind w:right="28" w:firstLine="43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4.1.投标文件的固化和加密</w:t>
      </w:r>
    </w:p>
    <w:p w14:paraId="2CDB1718">
      <w:pPr>
        <w:spacing w:before="69" w:line="360" w:lineRule="auto"/>
        <w:ind w:right="28" w:firstLine="43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4.1.1. 供应商在上传投标文件之前应对投标文件进行固化和加密。</w:t>
      </w:r>
    </w:p>
    <w:p w14:paraId="4376CC79">
      <w:pPr>
        <w:spacing w:before="69" w:line="360" w:lineRule="auto"/>
        <w:ind w:right="28" w:firstLine="433"/>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4.1.2.供应商登录交易平台下载招标文件时同时下载加密程序，投标文件制作完成固化后，将企业数字证书插入电脑，打开加密程序，按照提示选择固化后的投标文件进行加密。应急密码是数字证书无法正常使用时对投标文件进行解密的唯一途径，请务必牢记。</w:t>
      </w:r>
    </w:p>
    <w:p w14:paraId="1C5D7595">
      <w:pPr>
        <w:spacing w:line="360" w:lineRule="auto"/>
        <w:ind w:left="11"/>
        <w:outlineLvl w:val="2"/>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4.2.投标截止</w:t>
      </w:r>
    </w:p>
    <w:p w14:paraId="3ECDEFFF">
      <w:pPr>
        <w:spacing w:before="62" w:line="360" w:lineRule="auto"/>
        <w:ind w:firstLine="480" w:firstLineChars="2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供应商应在供应商须知前附表中规定的截止时间前，</w:t>
      </w:r>
      <w:r>
        <w:rPr>
          <w:rFonts w:hint="eastAsia" w:ascii="宋体" w:hAnsi="宋体" w:cs="宋体"/>
          <w:b w:val="0"/>
          <w:bCs w:val="0"/>
          <w:color w:val="000000"/>
          <w:kern w:val="2"/>
          <w:sz w:val="24"/>
          <w:szCs w:val="24"/>
          <w:highlight w:val="none"/>
          <w:lang w:val="en-US" w:eastAsia="zh-CN" w:bidi="ar-SA"/>
        </w:rPr>
        <w:t>递交</w:t>
      </w:r>
      <w:r>
        <w:rPr>
          <w:rFonts w:hint="eastAsia" w:ascii="宋体" w:hAnsi="宋体" w:eastAsia="宋体" w:cs="宋体"/>
          <w:b w:val="0"/>
          <w:bCs w:val="0"/>
          <w:color w:val="000000"/>
          <w:kern w:val="2"/>
          <w:sz w:val="24"/>
          <w:szCs w:val="24"/>
          <w:highlight w:val="none"/>
          <w:lang w:val="en-US" w:eastAsia="zh-CN" w:bidi="ar-SA"/>
        </w:rPr>
        <w:t>投标文件。</w:t>
      </w:r>
    </w:p>
    <w:p w14:paraId="7CA5A713">
      <w:pPr>
        <w:spacing w:before="1" w:line="360" w:lineRule="auto"/>
        <w:ind w:left="11"/>
        <w:outlineLvl w:val="2"/>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4.3.投标文件的接收、修改与撤回</w:t>
      </w:r>
    </w:p>
    <w:p w14:paraId="23121E9D">
      <w:pPr>
        <w:spacing w:before="62" w:line="360" w:lineRule="auto"/>
        <w:ind w:left="13" w:right="28" w:firstLine="419"/>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 xml:space="preserve">4.3.1. 采购人及招标采购代理机构工作人员将于投标截止日期当天在采购公告中约定的地点接收该项目投标文件。在投标截止时间之后， </w:t>
      </w:r>
      <w:r>
        <w:rPr>
          <w:rFonts w:hint="eastAsia" w:ascii="宋体" w:hAnsi="宋体" w:cs="宋体"/>
          <w:b w:val="0"/>
          <w:bCs w:val="0"/>
          <w:color w:val="000000"/>
          <w:kern w:val="2"/>
          <w:sz w:val="24"/>
          <w:szCs w:val="24"/>
          <w:highlight w:val="none"/>
          <w:lang w:val="en-US" w:eastAsia="zh-CN" w:bidi="ar-SA"/>
        </w:rPr>
        <w:t>供应商</w:t>
      </w:r>
      <w:r>
        <w:rPr>
          <w:rFonts w:hint="eastAsia" w:ascii="宋体" w:hAnsi="宋体" w:eastAsia="宋体" w:cs="宋体"/>
          <w:b w:val="0"/>
          <w:bCs w:val="0"/>
          <w:color w:val="000000"/>
          <w:kern w:val="2"/>
          <w:sz w:val="24"/>
          <w:szCs w:val="24"/>
          <w:highlight w:val="none"/>
          <w:lang w:val="en-US" w:eastAsia="zh-CN" w:bidi="ar-SA"/>
        </w:rPr>
        <w:t>将无法递交投标文件。</w:t>
      </w:r>
    </w:p>
    <w:p w14:paraId="04D04229">
      <w:pPr>
        <w:spacing w:before="1" w:line="360" w:lineRule="auto"/>
        <w:ind w:left="1" w:right="28" w:firstLine="432"/>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4.3.2. 递交投标文件以后，如果供应商要进行修改或撤回投标，须在投标截止时间前登录交易平台， 点击“递交投标文件”选择“撤回”，修改完成固化加密后在投标截止时间前重新递交 招标文件。</w:t>
      </w:r>
    </w:p>
    <w:p w14:paraId="6E7BC620">
      <w:pPr>
        <w:spacing w:line="360" w:lineRule="auto"/>
        <w:ind w:left="433"/>
        <w:rPr>
          <w:rFonts w:hint="eastAsia" w:ascii="宋体" w:hAnsi="宋体" w:eastAsia="宋体" w:cs="宋体"/>
          <w:b/>
          <w:color w:val="000000"/>
          <w:sz w:val="24"/>
          <w:szCs w:val="24"/>
          <w:highlight w:val="none"/>
          <w:lang w:bidi="ar"/>
        </w:rPr>
      </w:pPr>
      <w:r>
        <w:rPr>
          <w:rFonts w:hint="eastAsia" w:ascii="宋体" w:hAnsi="宋体" w:eastAsia="宋体" w:cs="宋体"/>
          <w:b w:val="0"/>
          <w:bCs w:val="0"/>
          <w:color w:val="000000"/>
          <w:kern w:val="2"/>
          <w:sz w:val="24"/>
          <w:szCs w:val="24"/>
          <w:highlight w:val="none"/>
          <w:lang w:val="en-US" w:eastAsia="zh-CN" w:bidi="ar-SA"/>
        </w:rPr>
        <w:t>4.3.3. 采购人和招标采购代理机构对所接收的投标文件概不退回。</w:t>
      </w:r>
    </w:p>
    <w:p w14:paraId="4EB3B92F">
      <w:pPr>
        <w:spacing w:line="360" w:lineRule="auto"/>
        <w:rPr>
          <w:rFonts w:hint="eastAsia" w:ascii="宋体" w:hAnsi="宋体" w:eastAsia="宋体" w:cs="宋体"/>
          <w:sz w:val="24"/>
          <w:szCs w:val="24"/>
          <w:highlight w:val="none"/>
          <w:lang w:eastAsia="zh-CN"/>
        </w:rPr>
      </w:pPr>
      <w:r>
        <w:rPr>
          <w:rFonts w:hint="eastAsia" w:ascii="宋体" w:hAnsi="宋体" w:eastAsia="宋体" w:cs="宋体"/>
          <w:b/>
          <w:color w:val="000000"/>
          <w:sz w:val="24"/>
          <w:szCs w:val="24"/>
          <w:highlight w:val="none"/>
          <w:lang w:bidi="ar"/>
        </w:rPr>
        <w:t>五.</w:t>
      </w:r>
      <w:r>
        <w:rPr>
          <w:rFonts w:hint="eastAsia" w:ascii="宋体" w:hAnsi="宋体" w:eastAsia="宋体" w:cs="宋体"/>
          <w:b/>
          <w:color w:val="000000"/>
          <w:sz w:val="24"/>
          <w:szCs w:val="24"/>
          <w:highlight w:val="none"/>
          <w:lang w:val="en-US" w:eastAsia="zh-CN" w:bidi="ar"/>
        </w:rPr>
        <w:t>开标</w:t>
      </w:r>
    </w:p>
    <w:p w14:paraId="2FB9EFE2">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r>
        <w:rPr>
          <w:rFonts w:hint="eastAsia" w:ascii="宋体" w:hAnsi="宋体" w:eastAsia="宋体" w:cs="宋体"/>
          <w:color w:val="000000"/>
          <w:sz w:val="24"/>
          <w:szCs w:val="24"/>
          <w:highlight w:val="none"/>
          <w:lang w:val="en-US" w:eastAsia="zh-CN"/>
        </w:rPr>
        <w:t>开标</w:t>
      </w:r>
      <w:r>
        <w:rPr>
          <w:rFonts w:hint="eastAsia" w:ascii="宋体" w:hAnsi="宋体" w:eastAsia="宋体" w:cs="宋体"/>
          <w:color w:val="000000"/>
          <w:sz w:val="24"/>
          <w:szCs w:val="24"/>
          <w:highlight w:val="none"/>
        </w:rPr>
        <w:t>前准备</w:t>
      </w:r>
    </w:p>
    <w:p w14:paraId="09279EF9">
      <w:pPr>
        <w:spacing w:line="360" w:lineRule="auto"/>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5.1.1. 采购人和招标采购代理机构将在供应商须知资料表中规定的开标时间 30 分钟-60 分钟前登录公共资源交易平台启动开标会，并按照开标准备-签到-开标-开标记录-开标结束的顺序组织本次开标活动。</w:t>
      </w:r>
    </w:p>
    <w:p w14:paraId="34F10FF2">
      <w:pPr>
        <w:spacing w:line="360"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5.2.供应商应按照规定完成签到和解密操作，否则将导致其</w:t>
      </w:r>
      <w:r>
        <w:rPr>
          <w:rFonts w:hint="eastAsia" w:ascii="宋体" w:hAnsi="宋体" w:eastAsia="宋体" w:cs="宋体"/>
          <w:spacing w:val="-2"/>
          <w:sz w:val="24"/>
          <w:szCs w:val="24"/>
          <w:highlight w:val="none"/>
          <w14:textOutline w14:w="3352" w14:cap="rnd" w14:cmpd="sng" w14:algn="ctr">
            <w14:solidFill>
              <w14:srgbClr w14:val="000000"/>
            </w14:solidFill>
            <w14:prstDash w14:val="solid"/>
            <w14:round/>
          </w14:textOutline>
        </w:rPr>
        <w:t>无效响应</w:t>
      </w:r>
      <w:r>
        <w:rPr>
          <w:rFonts w:hint="eastAsia" w:ascii="宋体" w:hAnsi="宋体" w:eastAsia="宋体" w:cs="宋体"/>
          <w:spacing w:val="-2"/>
          <w:sz w:val="24"/>
          <w:szCs w:val="24"/>
          <w:highlight w:val="none"/>
        </w:rPr>
        <w:t>。</w:t>
      </w:r>
    </w:p>
    <w:p w14:paraId="5F353D71">
      <w:pPr>
        <w:spacing w:before="70" w:line="360" w:lineRule="auto"/>
        <w:ind w:right="77" w:firstLine="43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5.2.1.开标结束后、供应商代表应实时关注交易平台信息，以满足评审过程中可能发生的</w:t>
      </w:r>
      <w:r>
        <w:rPr>
          <w:rFonts w:hint="eastAsia" w:ascii="宋体" w:hAnsi="宋体" w:cs="宋体"/>
          <w:spacing w:val="-1"/>
          <w:sz w:val="24"/>
          <w:szCs w:val="24"/>
          <w:highlight w:val="none"/>
          <w:lang w:val="en-US" w:eastAsia="zh-CN"/>
        </w:rPr>
        <w:t>评标委员会</w:t>
      </w:r>
      <w:r>
        <w:rPr>
          <w:rFonts w:hint="eastAsia" w:ascii="宋体" w:hAnsi="宋体" w:eastAsia="宋体" w:cs="宋体"/>
          <w:spacing w:val="2"/>
          <w:sz w:val="24"/>
          <w:szCs w:val="24"/>
          <w:highlight w:val="none"/>
        </w:rPr>
        <w:t>要求供应商对</w:t>
      </w:r>
      <w:r>
        <w:rPr>
          <w:rFonts w:hint="eastAsia" w:ascii="宋体" w:hAnsi="宋体" w:eastAsia="宋体" w:cs="宋体"/>
          <w:spacing w:val="2"/>
          <w:sz w:val="24"/>
          <w:szCs w:val="24"/>
          <w:highlight w:val="none"/>
          <w:lang w:eastAsia="zh-CN"/>
        </w:rPr>
        <w:t>投标文件</w:t>
      </w:r>
      <w:r>
        <w:rPr>
          <w:rFonts w:hint="eastAsia" w:ascii="宋体" w:hAnsi="宋体" w:eastAsia="宋体" w:cs="宋体"/>
          <w:spacing w:val="2"/>
          <w:sz w:val="24"/>
          <w:szCs w:val="24"/>
          <w:highlight w:val="none"/>
        </w:rPr>
        <w:t>进行必</w:t>
      </w:r>
      <w:r>
        <w:rPr>
          <w:rFonts w:hint="eastAsia" w:ascii="宋体" w:hAnsi="宋体" w:eastAsia="宋体" w:cs="宋体"/>
          <w:spacing w:val="1"/>
          <w:sz w:val="24"/>
          <w:szCs w:val="24"/>
          <w:highlight w:val="none"/>
        </w:rPr>
        <w:t>要澄清、说明或补正。否则、因此产生的一切不利后果由</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供</w:t>
      </w:r>
      <w:r>
        <w:rPr>
          <w:rFonts w:hint="eastAsia" w:ascii="宋体" w:hAnsi="宋体" w:eastAsia="宋体" w:cs="宋体"/>
          <w:spacing w:val="-4"/>
          <w:sz w:val="24"/>
          <w:szCs w:val="24"/>
          <w:highlight w:val="none"/>
        </w:rPr>
        <w:t>应</w:t>
      </w:r>
      <w:r>
        <w:rPr>
          <w:rFonts w:hint="eastAsia" w:ascii="宋体" w:hAnsi="宋体" w:eastAsia="宋体" w:cs="宋体"/>
          <w:spacing w:val="-3"/>
          <w:sz w:val="24"/>
          <w:szCs w:val="24"/>
          <w:highlight w:val="none"/>
        </w:rPr>
        <w:t>商自行承担。</w:t>
      </w:r>
    </w:p>
    <w:p w14:paraId="36EE1464">
      <w:pPr>
        <w:spacing w:before="1" w:line="360" w:lineRule="auto"/>
        <w:ind w:left="43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5.3.开标后，满足条件的供应商不足三家的，项目将整体流标。</w:t>
      </w:r>
    </w:p>
    <w:p w14:paraId="4630DA6D">
      <w:pPr>
        <w:spacing w:before="67" w:line="360" w:lineRule="auto"/>
        <w:ind w:left="6" w:right="77" w:firstLine="42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5.3.1采购人或招标采购代理机构将对</w:t>
      </w:r>
      <w:r>
        <w:rPr>
          <w:rFonts w:hint="eastAsia" w:ascii="宋体" w:hAnsi="宋体" w:eastAsia="宋体" w:cs="宋体"/>
          <w:spacing w:val="-1"/>
          <w:sz w:val="24"/>
          <w:szCs w:val="24"/>
          <w:highlight w:val="none"/>
          <w:lang w:val="en-US" w:eastAsia="zh-CN"/>
        </w:rPr>
        <w:t>开标</w:t>
      </w:r>
      <w:r>
        <w:rPr>
          <w:rFonts w:hint="eastAsia" w:ascii="宋体" w:hAnsi="宋体" w:eastAsia="宋体" w:cs="宋体"/>
          <w:spacing w:val="-1"/>
          <w:sz w:val="24"/>
          <w:szCs w:val="24"/>
          <w:highlight w:val="none"/>
        </w:rPr>
        <w:t>准备过程进行记录，由参加</w:t>
      </w:r>
      <w:r>
        <w:rPr>
          <w:rFonts w:hint="eastAsia" w:ascii="宋体" w:hAnsi="宋体" w:eastAsia="宋体" w:cs="宋体"/>
          <w:spacing w:val="-1"/>
          <w:sz w:val="24"/>
          <w:szCs w:val="24"/>
          <w:highlight w:val="none"/>
          <w:lang w:val="en-US" w:eastAsia="zh-CN"/>
        </w:rPr>
        <w:t>开标</w:t>
      </w:r>
      <w:r>
        <w:rPr>
          <w:rFonts w:hint="eastAsia" w:ascii="宋体" w:hAnsi="宋体" w:eastAsia="宋体" w:cs="宋体"/>
          <w:spacing w:val="-1"/>
          <w:sz w:val="24"/>
          <w:szCs w:val="24"/>
          <w:highlight w:val="none"/>
        </w:rPr>
        <w:t>的采购人代表或监督人员签字确认，并存档备查。</w:t>
      </w:r>
    </w:p>
    <w:p w14:paraId="17C39D0B">
      <w:pPr>
        <w:spacing w:before="1" w:line="360" w:lineRule="auto"/>
        <w:ind w:left="1" w:right="82" w:firstLine="43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5.3.2.采购人及招标采购代理机构将按照《中华人民共和国政府采购法》、《中华人民共和国政</w:t>
      </w:r>
      <w:r>
        <w:rPr>
          <w:rFonts w:hint="eastAsia" w:ascii="宋体" w:hAnsi="宋体" w:eastAsia="宋体" w:cs="宋体"/>
          <w:spacing w:val="2"/>
          <w:sz w:val="24"/>
          <w:szCs w:val="24"/>
          <w:highlight w:val="none"/>
        </w:rPr>
        <w:t>府采购法实施条例》及本项目本级和</w:t>
      </w:r>
      <w:r>
        <w:rPr>
          <w:rFonts w:hint="eastAsia" w:ascii="宋体" w:hAnsi="宋体" w:eastAsia="宋体" w:cs="宋体"/>
          <w:spacing w:val="1"/>
          <w:sz w:val="24"/>
          <w:szCs w:val="24"/>
          <w:highlight w:val="none"/>
        </w:rPr>
        <w:t>上级财政部门的有关规定依法组建的</w:t>
      </w:r>
      <w:r>
        <w:rPr>
          <w:rFonts w:hint="eastAsia" w:ascii="宋体" w:hAnsi="宋体" w:cs="宋体"/>
          <w:spacing w:val="1"/>
          <w:sz w:val="24"/>
          <w:szCs w:val="24"/>
          <w:highlight w:val="none"/>
          <w:lang w:eastAsia="zh-CN"/>
        </w:rPr>
        <w:t>评标委员会</w:t>
      </w:r>
      <w:r>
        <w:rPr>
          <w:rFonts w:hint="eastAsia" w:ascii="宋体" w:hAnsi="宋体" w:eastAsia="宋体" w:cs="宋体"/>
          <w:spacing w:val="1"/>
          <w:sz w:val="24"/>
          <w:szCs w:val="24"/>
          <w:highlight w:val="none"/>
        </w:rPr>
        <w:t>，负责评审工</w:t>
      </w:r>
      <w:r>
        <w:rPr>
          <w:rFonts w:hint="eastAsia" w:ascii="宋体" w:hAnsi="宋体" w:eastAsia="宋体" w:cs="宋体"/>
          <w:spacing w:val="-11"/>
          <w:sz w:val="24"/>
          <w:szCs w:val="24"/>
          <w:highlight w:val="none"/>
        </w:rPr>
        <w:t>作</w:t>
      </w:r>
      <w:r>
        <w:rPr>
          <w:rFonts w:hint="eastAsia" w:ascii="宋体" w:hAnsi="宋体" w:eastAsia="宋体" w:cs="宋体"/>
          <w:spacing w:val="-10"/>
          <w:sz w:val="24"/>
          <w:szCs w:val="24"/>
          <w:highlight w:val="none"/>
        </w:rPr>
        <w:t>。</w:t>
      </w:r>
    </w:p>
    <w:p w14:paraId="4849986D">
      <w:pPr>
        <w:spacing w:line="360" w:lineRule="auto"/>
        <w:rPr>
          <w:rFonts w:hint="eastAsia" w:ascii="宋体" w:hAnsi="宋体" w:eastAsia="宋体" w:cs="宋体"/>
          <w:b/>
          <w:color w:val="000000"/>
          <w:sz w:val="24"/>
          <w:szCs w:val="24"/>
          <w:highlight w:val="none"/>
          <w:lang w:bidi="ar"/>
        </w:rPr>
      </w:pPr>
      <w:r>
        <w:rPr>
          <w:rFonts w:hint="eastAsia" w:ascii="宋体" w:hAnsi="宋体" w:eastAsia="宋体" w:cs="宋体"/>
          <w:b/>
          <w:color w:val="000000"/>
          <w:sz w:val="24"/>
          <w:szCs w:val="24"/>
          <w:highlight w:val="none"/>
          <w:lang w:val="en-US" w:eastAsia="zh-CN" w:bidi="ar"/>
        </w:rPr>
        <w:t>六</w:t>
      </w:r>
      <w:r>
        <w:rPr>
          <w:rFonts w:hint="eastAsia" w:ascii="宋体" w:hAnsi="宋体" w:eastAsia="宋体" w:cs="宋体"/>
          <w:b/>
          <w:color w:val="000000"/>
          <w:sz w:val="24"/>
          <w:szCs w:val="24"/>
          <w:highlight w:val="none"/>
          <w:lang w:bidi="ar"/>
        </w:rPr>
        <w:t>、</w:t>
      </w:r>
      <w:r>
        <w:rPr>
          <w:rFonts w:hint="eastAsia" w:ascii="宋体" w:hAnsi="宋体" w:cs="宋体"/>
          <w:b/>
          <w:color w:val="000000"/>
          <w:sz w:val="24"/>
          <w:szCs w:val="24"/>
          <w:highlight w:val="none"/>
          <w:lang w:val="en-US" w:eastAsia="zh-CN" w:bidi="ar"/>
        </w:rPr>
        <w:t>评标委员会</w:t>
      </w:r>
      <w:r>
        <w:rPr>
          <w:rFonts w:hint="eastAsia" w:ascii="宋体" w:hAnsi="宋体" w:eastAsia="宋体" w:cs="宋体"/>
          <w:b/>
          <w:color w:val="000000"/>
          <w:sz w:val="24"/>
          <w:szCs w:val="24"/>
          <w:highlight w:val="none"/>
          <w:lang w:bidi="ar"/>
        </w:rPr>
        <w:t>的组成及要求</w:t>
      </w:r>
    </w:p>
    <w:p w14:paraId="1CEEFE80">
      <w:pPr>
        <w:spacing w:before="1" w:line="360" w:lineRule="auto"/>
        <w:ind w:left="1" w:right="82" w:firstLine="430"/>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6.1.</w:t>
      </w:r>
      <w:r>
        <w:rPr>
          <w:rFonts w:hint="eastAsia" w:ascii="宋体" w:hAnsi="宋体" w:eastAsia="宋体" w:cs="宋体"/>
          <w:spacing w:val="-8"/>
          <w:sz w:val="24"/>
          <w:szCs w:val="24"/>
          <w:highlight w:val="none"/>
          <w:lang w:eastAsia="zh-CN"/>
        </w:rPr>
        <w:t>评标</w:t>
      </w:r>
      <w:r>
        <w:rPr>
          <w:rFonts w:hint="eastAsia" w:ascii="宋体" w:hAnsi="宋体" w:cs="宋体"/>
          <w:spacing w:val="-8"/>
          <w:sz w:val="24"/>
          <w:szCs w:val="24"/>
          <w:highlight w:val="none"/>
          <w:lang w:val="en-US" w:eastAsia="zh-CN"/>
        </w:rPr>
        <w:t>委员会的组成见投标须知前附表规定</w:t>
      </w:r>
      <w:r>
        <w:rPr>
          <w:rFonts w:hint="eastAsia" w:ascii="宋体" w:hAnsi="宋体" w:eastAsia="宋体" w:cs="宋体"/>
          <w:spacing w:val="-8"/>
          <w:sz w:val="24"/>
          <w:szCs w:val="24"/>
          <w:highlight w:val="none"/>
        </w:rPr>
        <w:t>。</w:t>
      </w:r>
      <w:r>
        <w:rPr>
          <w:rFonts w:hint="eastAsia" w:ascii="宋体" w:hAnsi="宋体" w:cs="宋体"/>
          <w:spacing w:val="-8"/>
          <w:sz w:val="24"/>
          <w:szCs w:val="24"/>
          <w:highlight w:val="none"/>
          <w:lang w:eastAsia="zh-CN"/>
        </w:rPr>
        <w:t>评标委员会</w:t>
      </w:r>
      <w:r>
        <w:rPr>
          <w:rFonts w:hint="eastAsia" w:ascii="宋体" w:hAnsi="宋体" w:eastAsia="宋体" w:cs="宋体"/>
          <w:spacing w:val="-8"/>
          <w:sz w:val="24"/>
          <w:szCs w:val="24"/>
          <w:highlight w:val="none"/>
        </w:rPr>
        <w:t>成员应根据相关法律法规履行主动申请回避和遵守评审工作纪律的义务。</w:t>
      </w:r>
    </w:p>
    <w:p w14:paraId="0C2541F7">
      <w:pPr>
        <w:spacing w:before="1" w:line="360" w:lineRule="auto"/>
        <w:ind w:left="1" w:right="82" w:firstLine="430"/>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6.2.</w:t>
      </w:r>
      <w:r>
        <w:rPr>
          <w:rFonts w:hint="eastAsia" w:ascii="宋体" w:hAnsi="宋体" w:eastAsia="宋体" w:cs="宋体"/>
          <w:spacing w:val="-8"/>
          <w:sz w:val="24"/>
          <w:szCs w:val="24"/>
          <w:highlight w:val="none"/>
          <w:lang w:eastAsia="zh-CN"/>
        </w:rPr>
        <w:t>评标</w:t>
      </w:r>
      <w:r>
        <w:rPr>
          <w:rFonts w:hint="eastAsia" w:ascii="宋体" w:hAnsi="宋体" w:cs="宋体"/>
          <w:spacing w:val="-8"/>
          <w:sz w:val="24"/>
          <w:szCs w:val="24"/>
          <w:highlight w:val="none"/>
          <w:lang w:val="en-US" w:eastAsia="zh-CN"/>
        </w:rPr>
        <w:t>委员会</w:t>
      </w:r>
      <w:r>
        <w:rPr>
          <w:rFonts w:hint="eastAsia" w:ascii="宋体" w:hAnsi="宋体" w:eastAsia="宋体" w:cs="宋体"/>
          <w:spacing w:val="-8"/>
          <w:sz w:val="24"/>
          <w:szCs w:val="24"/>
          <w:highlight w:val="none"/>
        </w:rPr>
        <w:t>应按照</w:t>
      </w:r>
      <w:r>
        <w:rPr>
          <w:rFonts w:hint="eastAsia" w:ascii="宋体" w:hAnsi="宋体" w:eastAsia="宋体" w:cs="宋体"/>
          <w:spacing w:val="-8"/>
          <w:sz w:val="24"/>
          <w:szCs w:val="24"/>
          <w:highlight w:val="none"/>
          <w:lang w:eastAsia="zh-CN"/>
        </w:rPr>
        <w:t>招标文件</w:t>
      </w:r>
      <w:r>
        <w:rPr>
          <w:rFonts w:hint="eastAsia" w:ascii="宋体" w:hAnsi="宋体" w:eastAsia="宋体" w:cs="宋体"/>
          <w:spacing w:val="-8"/>
          <w:sz w:val="24"/>
          <w:szCs w:val="24"/>
          <w:highlight w:val="none"/>
        </w:rPr>
        <w:t>规定的评审方法和标准进行评审，并独立履行以下职责：</w:t>
      </w:r>
    </w:p>
    <w:p w14:paraId="4DA44AEA">
      <w:pPr>
        <w:spacing w:before="58" w:line="360" w:lineRule="auto"/>
        <w:ind w:left="1" w:firstLine="433"/>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(1)审查</w:t>
      </w:r>
      <w:r>
        <w:rPr>
          <w:rFonts w:hint="eastAsia" w:ascii="宋体" w:hAnsi="宋体" w:eastAsia="宋体" w:cs="宋体"/>
          <w:spacing w:val="-3"/>
          <w:sz w:val="24"/>
          <w:szCs w:val="24"/>
          <w:highlight w:val="none"/>
          <w:lang w:eastAsia="zh-CN"/>
        </w:rPr>
        <w:t>招标文件</w:t>
      </w:r>
      <w:r>
        <w:rPr>
          <w:rFonts w:hint="eastAsia" w:ascii="宋体" w:hAnsi="宋体" w:eastAsia="宋体" w:cs="宋体"/>
          <w:spacing w:val="-3"/>
          <w:sz w:val="24"/>
          <w:szCs w:val="24"/>
          <w:highlight w:val="none"/>
        </w:rPr>
        <w:t>内容是否违反国家有关强制性规定存在歧义、重大缺陷导致无法评审；</w:t>
      </w:r>
    </w:p>
    <w:p w14:paraId="0A40D9B5">
      <w:pPr>
        <w:spacing w:before="58" w:line="360" w:lineRule="auto"/>
        <w:ind w:left="1" w:firstLine="433"/>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(2)审查供应商</w:t>
      </w:r>
      <w:r>
        <w:rPr>
          <w:rFonts w:hint="eastAsia" w:ascii="宋体" w:hAnsi="宋体" w:eastAsia="宋体" w:cs="宋体"/>
          <w:spacing w:val="-3"/>
          <w:sz w:val="24"/>
          <w:szCs w:val="24"/>
          <w:highlight w:val="none"/>
          <w:lang w:eastAsia="zh-CN"/>
        </w:rPr>
        <w:t>投标文件</w:t>
      </w:r>
      <w:r>
        <w:rPr>
          <w:rFonts w:hint="eastAsia" w:ascii="宋体" w:hAnsi="宋体" w:eastAsia="宋体" w:cs="宋体"/>
          <w:spacing w:val="-3"/>
          <w:sz w:val="24"/>
          <w:szCs w:val="24"/>
          <w:highlight w:val="none"/>
        </w:rPr>
        <w:t>是否满足</w:t>
      </w:r>
      <w:r>
        <w:rPr>
          <w:rFonts w:hint="eastAsia" w:ascii="宋体" w:hAnsi="宋体" w:eastAsia="宋体" w:cs="宋体"/>
          <w:spacing w:val="-3"/>
          <w:sz w:val="24"/>
          <w:szCs w:val="24"/>
          <w:highlight w:val="none"/>
          <w:lang w:eastAsia="zh-CN"/>
        </w:rPr>
        <w:t>招标文件</w:t>
      </w:r>
      <w:r>
        <w:rPr>
          <w:rFonts w:hint="eastAsia" w:ascii="宋体" w:hAnsi="宋体" w:eastAsia="宋体" w:cs="宋体"/>
          <w:spacing w:val="-3"/>
          <w:sz w:val="24"/>
          <w:szCs w:val="24"/>
          <w:highlight w:val="none"/>
        </w:rPr>
        <w:t>要求， 并作出公正评价；</w:t>
      </w:r>
    </w:p>
    <w:p w14:paraId="4AE2519F">
      <w:pPr>
        <w:spacing w:before="58" w:line="360" w:lineRule="auto"/>
        <w:ind w:left="1" w:firstLine="433"/>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(3)根据需要要求供应商对</w:t>
      </w:r>
      <w:r>
        <w:rPr>
          <w:rFonts w:hint="eastAsia" w:ascii="宋体" w:hAnsi="宋体" w:eastAsia="宋体" w:cs="宋体"/>
          <w:spacing w:val="-3"/>
          <w:sz w:val="24"/>
          <w:szCs w:val="24"/>
          <w:highlight w:val="none"/>
          <w:lang w:eastAsia="zh-CN"/>
        </w:rPr>
        <w:t>投标文件</w:t>
      </w:r>
      <w:r>
        <w:rPr>
          <w:rFonts w:hint="eastAsia" w:ascii="宋体" w:hAnsi="宋体" w:eastAsia="宋体" w:cs="宋体"/>
          <w:spacing w:val="-3"/>
          <w:sz w:val="24"/>
          <w:szCs w:val="24"/>
          <w:highlight w:val="none"/>
        </w:rPr>
        <w:t>有关事项作出澄清、说明或者补正；</w:t>
      </w:r>
    </w:p>
    <w:p w14:paraId="115BCFDD">
      <w:pPr>
        <w:spacing w:before="58" w:line="360" w:lineRule="auto"/>
        <w:ind w:left="1" w:firstLine="433"/>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(4)推荐成交候选供应商名单，或者受采购人委托确定成交供应商；</w:t>
      </w:r>
    </w:p>
    <w:p w14:paraId="382DEB90">
      <w:pPr>
        <w:spacing w:before="58" w:line="360" w:lineRule="auto"/>
        <w:ind w:left="1" w:firstLine="433"/>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(5)起草评审报告并进行签署；</w:t>
      </w:r>
    </w:p>
    <w:p w14:paraId="623C7FE9">
      <w:pPr>
        <w:spacing w:before="58" w:line="360" w:lineRule="auto"/>
        <w:ind w:left="1" w:firstLine="433"/>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(6)向采购单位或招标采购代理机构、财政部门或者其他监督部 门报告非法干预评审工作的行为；</w:t>
      </w:r>
    </w:p>
    <w:p w14:paraId="2DC489CC">
      <w:pPr>
        <w:spacing w:before="58" w:line="360" w:lineRule="auto"/>
        <w:ind w:left="1" w:firstLine="433"/>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(7)法律、法规和规章规定的其他职责。</w:t>
      </w:r>
    </w:p>
    <w:p w14:paraId="4A3F4744">
      <w:pPr>
        <w:spacing w:line="360" w:lineRule="auto"/>
        <w:rPr>
          <w:rFonts w:hint="eastAsia" w:ascii="宋体" w:hAnsi="宋体" w:eastAsia="宋体" w:cs="宋体"/>
          <w:b/>
          <w:color w:val="000000"/>
          <w:sz w:val="24"/>
          <w:szCs w:val="24"/>
          <w:highlight w:val="none"/>
          <w:lang w:bidi="ar"/>
        </w:rPr>
      </w:pPr>
      <w:r>
        <w:rPr>
          <w:rFonts w:hint="eastAsia" w:ascii="宋体" w:hAnsi="宋体" w:eastAsia="宋体" w:cs="宋体"/>
          <w:b/>
          <w:color w:val="000000"/>
          <w:sz w:val="24"/>
          <w:szCs w:val="24"/>
          <w:highlight w:val="none"/>
          <w:lang w:val="en-US" w:eastAsia="zh-CN" w:bidi="ar"/>
        </w:rPr>
        <w:t>七</w:t>
      </w:r>
      <w:r>
        <w:rPr>
          <w:rFonts w:hint="eastAsia" w:ascii="宋体" w:hAnsi="宋体" w:eastAsia="宋体" w:cs="宋体"/>
          <w:b/>
          <w:color w:val="000000"/>
          <w:sz w:val="24"/>
          <w:szCs w:val="24"/>
          <w:highlight w:val="none"/>
          <w:lang w:bidi="ar"/>
        </w:rPr>
        <w:t>、</w:t>
      </w:r>
      <w:r>
        <w:rPr>
          <w:rFonts w:hint="eastAsia" w:ascii="宋体" w:hAnsi="宋体" w:eastAsia="宋体" w:cs="宋体"/>
          <w:b/>
          <w:color w:val="000000"/>
          <w:sz w:val="24"/>
          <w:szCs w:val="24"/>
          <w:highlight w:val="none"/>
          <w:lang w:eastAsia="zh-CN" w:bidi="ar"/>
        </w:rPr>
        <w:t>投标文件</w:t>
      </w:r>
      <w:r>
        <w:rPr>
          <w:rFonts w:hint="eastAsia" w:ascii="宋体" w:hAnsi="宋体" w:eastAsia="宋体" w:cs="宋体"/>
          <w:b/>
          <w:color w:val="000000"/>
          <w:sz w:val="24"/>
          <w:szCs w:val="24"/>
          <w:highlight w:val="none"/>
          <w:lang w:bidi="ar"/>
        </w:rPr>
        <w:t>评审与澄清</w:t>
      </w:r>
    </w:p>
    <w:p w14:paraId="239295DE">
      <w:pPr>
        <w:spacing w:before="58" w:line="360" w:lineRule="auto"/>
        <w:ind w:left="1" w:firstLine="433"/>
        <w:rPr>
          <w:rFonts w:hint="eastAsia" w:ascii="宋体" w:hAnsi="宋体" w:eastAsia="宋体" w:cs="宋体"/>
          <w:spacing w:val="-2"/>
          <w:sz w:val="24"/>
          <w:szCs w:val="24"/>
          <w:highlight w:val="none"/>
        </w:rPr>
      </w:pPr>
      <w:r>
        <w:rPr>
          <w:rFonts w:hint="eastAsia" w:ascii="宋体" w:hAnsi="宋体" w:eastAsia="宋体" w:cs="宋体"/>
          <w:spacing w:val="-8"/>
          <w:sz w:val="24"/>
          <w:szCs w:val="24"/>
          <w:highlight w:val="none"/>
        </w:rPr>
        <w:t>7.1.</w:t>
      </w:r>
      <w:r>
        <w:rPr>
          <w:rFonts w:hint="eastAsia" w:ascii="宋体" w:hAnsi="宋体" w:cs="宋体"/>
          <w:spacing w:val="-8"/>
          <w:sz w:val="24"/>
          <w:szCs w:val="24"/>
          <w:highlight w:val="none"/>
          <w:lang w:eastAsia="zh-CN"/>
        </w:rPr>
        <w:t>评标委员会</w:t>
      </w:r>
      <w:r>
        <w:rPr>
          <w:rFonts w:hint="eastAsia" w:ascii="宋体" w:hAnsi="宋体" w:eastAsia="宋体" w:cs="宋体"/>
          <w:spacing w:val="-8"/>
          <w:sz w:val="24"/>
          <w:szCs w:val="24"/>
          <w:highlight w:val="none"/>
        </w:rPr>
        <w:t>成员应当按照客观、公正、审慎的原则，根据</w:t>
      </w:r>
      <w:r>
        <w:rPr>
          <w:rFonts w:hint="eastAsia" w:ascii="宋体" w:hAnsi="宋体" w:eastAsia="宋体" w:cs="宋体"/>
          <w:spacing w:val="-8"/>
          <w:sz w:val="24"/>
          <w:szCs w:val="24"/>
          <w:highlight w:val="none"/>
          <w:lang w:eastAsia="zh-CN"/>
        </w:rPr>
        <w:t>招标文件</w:t>
      </w:r>
      <w:r>
        <w:rPr>
          <w:rFonts w:hint="eastAsia" w:ascii="宋体" w:hAnsi="宋体" w:eastAsia="宋体" w:cs="宋体"/>
          <w:spacing w:val="-8"/>
          <w:sz w:val="24"/>
          <w:szCs w:val="24"/>
          <w:highlight w:val="none"/>
        </w:rPr>
        <w:t>第五章规定的评审程序、</w:t>
      </w:r>
      <w:r>
        <w:rPr>
          <w:rFonts w:hint="eastAsia" w:ascii="宋体" w:hAnsi="宋体" w:eastAsia="宋体" w:cs="宋体"/>
          <w:spacing w:val="-4"/>
          <w:sz w:val="24"/>
          <w:szCs w:val="24"/>
          <w:highlight w:val="none"/>
        </w:rPr>
        <w:t>方法和标准</w:t>
      </w:r>
      <w:r>
        <w:rPr>
          <w:rFonts w:hint="eastAsia" w:ascii="宋体" w:hAnsi="宋体" w:eastAsia="宋体" w:cs="宋体"/>
          <w:spacing w:val="-2"/>
          <w:sz w:val="24"/>
          <w:szCs w:val="24"/>
          <w:highlight w:val="none"/>
        </w:rPr>
        <w:t>进行独立评审。</w:t>
      </w:r>
      <w:bookmarkStart w:id="8" w:name="_bookmark27"/>
      <w:bookmarkEnd w:id="8"/>
      <w:bookmarkStart w:id="9" w:name="_bookmark28"/>
      <w:bookmarkEnd w:id="9"/>
    </w:p>
    <w:p w14:paraId="6F82631B">
      <w:pPr>
        <w:spacing w:before="58" w:line="360" w:lineRule="auto"/>
        <w:ind w:left="1" w:firstLine="43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7.2.</w:t>
      </w:r>
      <w:r>
        <w:rPr>
          <w:rFonts w:hint="eastAsia" w:ascii="宋体" w:hAnsi="宋体" w:eastAsia="宋体" w:cs="宋体"/>
          <w:spacing w:val="-4"/>
          <w:sz w:val="24"/>
          <w:szCs w:val="24"/>
          <w:highlight w:val="none"/>
        </w:rPr>
        <w:t>在</w:t>
      </w:r>
      <w:r>
        <w:rPr>
          <w:rFonts w:hint="eastAsia" w:ascii="宋体" w:hAnsi="宋体" w:eastAsia="宋体" w:cs="宋体"/>
          <w:spacing w:val="-3"/>
          <w:sz w:val="24"/>
          <w:szCs w:val="24"/>
          <w:highlight w:val="none"/>
        </w:rPr>
        <w:t>评审期间，</w:t>
      </w:r>
      <w:r>
        <w:rPr>
          <w:rFonts w:hint="eastAsia" w:ascii="宋体" w:hAnsi="宋体" w:cs="宋体"/>
          <w:spacing w:val="-3"/>
          <w:sz w:val="24"/>
          <w:szCs w:val="24"/>
          <w:highlight w:val="none"/>
          <w:lang w:eastAsia="zh-CN"/>
        </w:rPr>
        <w:t>评标委员会</w:t>
      </w:r>
      <w:r>
        <w:rPr>
          <w:rFonts w:hint="eastAsia" w:ascii="宋体" w:hAnsi="宋体" w:eastAsia="宋体" w:cs="宋体"/>
          <w:spacing w:val="-3"/>
          <w:sz w:val="24"/>
          <w:szCs w:val="24"/>
          <w:highlight w:val="none"/>
        </w:rPr>
        <w:t>发现</w:t>
      </w:r>
      <w:r>
        <w:rPr>
          <w:rFonts w:hint="eastAsia" w:ascii="宋体" w:hAnsi="宋体" w:eastAsia="宋体" w:cs="宋体"/>
          <w:spacing w:val="-3"/>
          <w:sz w:val="24"/>
          <w:szCs w:val="24"/>
          <w:highlight w:val="none"/>
          <w:lang w:eastAsia="zh-CN"/>
        </w:rPr>
        <w:t>投标文件</w:t>
      </w:r>
      <w:r>
        <w:rPr>
          <w:rFonts w:hint="eastAsia" w:ascii="宋体" w:hAnsi="宋体" w:eastAsia="宋体" w:cs="宋体"/>
          <w:spacing w:val="-3"/>
          <w:sz w:val="24"/>
          <w:szCs w:val="24"/>
          <w:highlight w:val="none"/>
        </w:rPr>
        <w:t>内容含义不明确、对同类问题表述不一致或者</w:t>
      </w:r>
      <w:r>
        <w:rPr>
          <w:rFonts w:hint="eastAsia" w:ascii="宋体" w:hAnsi="宋体" w:eastAsia="宋体" w:cs="宋体"/>
          <w:spacing w:val="-1"/>
          <w:sz w:val="24"/>
          <w:szCs w:val="24"/>
          <w:highlight w:val="none"/>
        </w:rPr>
        <w:t>有明显文字和计算错误时，将通过评审系统在线向供应商发出澄清、说明或补正的通知，</w:t>
      </w:r>
      <w:r>
        <w:rPr>
          <w:rFonts w:hint="eastAsia" w:ascii="宋体" w:hAnsi="宋体" w:cs="宋体"/>
          <w:spacing w:val="-1"/>
          <w:sz w:val="24"/>
          <w:szCs w:val="24"/>
          <w:highlight w:val="none"/>
          <w:lang w:eastAsia="zh-CN"/>
        </w:rPr>
        <w:t>评标委员会</w:t>
      </w:r>
      <w:r>
        <w:rPr>
          <w:rFonts w:hint="eastAsia" w:ascii="宋体" w:hAnsi="宋体" w:eastAsia="宋体" w:cs="宋体"/>
          <w:spacing w:val="-1"/>
          <w:sz w:val="24"/>
          <w:szCs w:val="24"/>
          <w:highlight w:val="none"/>
        </w:rPr>
        <w:t>可以根据问题情况合理设置答复时间，但最低不得</w:t>
      </w:r>
      <w:r>
        <w:rPr>
          <w:rFonts w:hint="eastAsia" w:ascii="宋体" w:hAnsi="宋体" w:eastAsia="宋体" w:cs="宋体"/>
          <w:sz w:val="24"/>
          <w:szCs w:val="24"/>
          <w:highlight w:val="none"/>
        </w:rPr>
        <w:t>少于 30 分钟。</w:t>
      </w:r>
    </w:p>
    <w:p w14:paraId="739F8F74">
      <w:pPr>
        <w:spacing w:before="2" w:line="360" w:lineRule="auto"/>
        <w:ind w:left="4" w:firstLine="43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 xml:space="preserve">7.3 </w:t>
      </w:r>
      <w:r>
        <w:rPr>
          <w:rFonts w:hint="eastAsia" w:ascii="宋体" w:hAnsi="宋体" w:eastAsia="宋体" w:cs="宋体"/>
          <w:spacing w:val="-4"/>
          <w:sz w:val="24"/>
          <w:szCs w:val="24"/>
          <w:highlight w:val="none"/>
        </w:rPr>
        <w:t>供</w:t>
      </w:r>
      <w:r>
        <w:rPr>
          <w:rFonts w:hint="eastAsia" w:ascii="宋体" w:hAnsi="宋体" w:eastAsia="宋体" w:cs="宋体"/>
          <w:spacing w:val="-3"/>
          <w:sz w:val="24"/>
          <w:szCs w:val="24"/>
          <w:highlight w:val="none"/>
        </w:rPr>
        <w:t>应商收到通知后可点击交易平台右上角的澄清答疑按钮， 选择要进行回答的项目，查</w:t>
      </w:r>
      <w:r>
        <w:rPr>
          <w:rFonts w:hint="eastAsia" w:ascii="宋体" w:hAnsi="宋体" w:eastAsia="宋体" w:cs="宋体"/>
          <w:spacing w:val="12"/>
          <w:sz w:val="24"/>
          <w:szCs w:val="24"/>
          <w:highlight w:val="none"/>
        </w:rPr>
        <w:t>看专</w:t>
      </w:r>
      <w:r>
        <w:rPr>
          <w:rFonts w:hint="eastAsia" w:ascii="宋体" w:hAnsi="宋体" w:eastAsia="宋体" w:cs="宋体"/>
          <w:spacing w:val="11"/>
          <w:sz w:val="24"/>
          <w:szCs w:val="24"/>
          <w:highlight w:val="none"/>
        </w:rPr>
        <w:t>家</w:t>
      </w:r>
      <w:r>
        <w:rPr>
          <w:rFonts w:hint="eastAsia" w:ascii="宋体" w:hAnsi="宋体" w:eastAsia="宋体" w:cs="宋体"/>
          <w:spacing w:val="6"/>
          <w:sz w:val="24"/>
          <w:szCs w:val="24"/>
          <w:highlight w:val="none"/>
        </w:rPr>
        <w:t>提问的问题(专家问题可以预览和下载)并准备答复材料上传交易系统。需要上传交易系</w:t>
      </w:r>
      <w:r>
        <w:rPr>
          <w:rFonts w:hint="eastAsia" w:ascii="宋体" w:hAnsi="宋体" w:eastAsia="宋体" w:cs="宋体"/>
          <w:spacing w:val="-6"/>
          <w:sz w:val="24"/>
          <w:szCs w:val="24"/>
          <w:highlight w:val="none"/>
        </w:rPr>
        <w:t>统</w:t>
      </w:r>
      <w:r>
        <w:rPr>
          <w:rFonts w:hint="eastAsia" w:ascii="宋体" w:hAnsi="宋体" w:eastAsia="宋体" w:cs="宋体"/>
          <w:spacing w:val="-3"/>
          <w:sz w:val="24"/>
          <w:szCs w:val="24"/>
          <w:highlight w:val="none"/>
        </w:rPr>
        <w:t>的澄清说明文件， 必须是 PDF 格式并且加盖有供应商</w:t>
      </w:r>
      <w:r>
        <w:rPr>
          <w:rFonts w:hint="eastAsia" w:ascii="宋体" w:hAnsi="宋体" w:cs="宋体"/>
          <w:spacing w:val="-3"/>
          <w:sz w:val="24"/>
          <w:szCs w:val="24"/>
          <w:highlight w:val="none"/>
          <w:lang w:val="en-US" w:eastAsia="zh-CN"/>
        </w:rPr>
        <w:t>公章</w:t>
      </w:r>
      <w:r>
        <w:rPr>
          <w:rFonts w:hint="eastAsia" w:ascii="宋体" w:hAnsi="宋体" w:eastAsia="宋体" w:cs="宋体"/>
          <w:spacing w:val="-3"/>
          <w:sz w:val="24"/>
          <w:szCs w:val="24"/>
          <w:highlight w:val="none"/>
        </w:rPr>
        <w:t>。答复材料准备好后在答疑文件</w:t>
      </w:r>
      <w:r>
        <w:rPr>
          <w:rFonts w:hint="eastAsia" w:ascii="宋体" w:hAnsi="宋体" w:eastAsia="宋体" w:cs="宋体"/>
          <w:spacing w:val="-1"/>
          <w:sz w:val="24"/>
          <w:szCs w:val="24"/>
          <w:highlight w:val="none"/>
        </w:rPr>
        <w:t>信息选项里提交回答文</w:t>
      </w:r>
      <w:r>
        <w:rPr>
          <w:rFonts w:hint="eastAsia" w:ascii="宋体" w:hAnsi="宋体" w:eastAsia="宋体" w:cs="宋体"/>
          <w:sz w:val="24"/>
          <w:szCs w:val="24"/>
          <w:highlight w:val="none"/>
        </w:rPr>
        <w:t>件。供应商请确认无误后提交，提交之后无法修改。</w:t>
      </w:r>
    </w:p>
    <w:p w14:paraId="6D0DED65">
      <w:pPr>
        <w:spacing w:before="1" w:line="360" w:lineRule="auto"/>
        <w:ind w:left="7" w:firstLine="42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7.4 供应商的澄清、说明或补正应在</w:t>
      </w:r>
      <w:r>
        <w:rPr>
          <w:rFonts w:hint="eastAsia" w:ascii="宋体" w:hAnsi="宋体" w:cs="宋体"/>
          <w:spacing w:val="-1"/>
          <w:sz w:val="24"/>
          <w:szCs w:val="24"/>
          <w:highlight w:val="none"/>
          <w:lang w:eastAsia="zh-CN"/>
        </w:rPr>
        <w:t>评标委员会</w:t>
      </w:r>
      <w:r>
        <w:rPr>
          <w:rFonts w:hint="eastAsia" w:ascii="宋体" w:hAnsi="宋体" w:eastAsia="宋体" w:cs="宋体"/>
          <w:spacing w:val="-1"/>
          <w:sz w:val="24"/>
          <w:szCs w:val="24"/>
          <w:highlight w:val="none"/>
        </w:rPr>
        <w:t>规定的时间内提交。并不得超出</w:t>
      </w:r>
      <w:r>
        <w:rPr>
          <w:rFonts w:hint="eastAsia" w:ascii="宋体" w:hAnsi="宋体" w:eastAsia="宋体" w:cs="宋体"/>
          <w:spacing w:val="-1"/>
          <w:sz w:val="24"/>
          <w:szCs w:val="24"/>
          <w:highlight w:val="none"/>
          <w:lang w:eastAsia="zh-CN"/>
        </w:rPr>
        <w:t>投标文件</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范围或者改变</w:t>
      </w:r>
      <w:r>
        <w:rPr>
          <w:rFonts w:hint="eastAsia" w:ascii="宋体" w:hAnsi="宋体" w:eastAsia="宋体" w:cs="宋体"/>
          <w:spacing w:val="2"/>
          <w:sz w:val="24"/>
          <w:szCs w:val="24"/>
          <w:highlight w:val="none"/>
          <w:lang w:eastAsia="zh-CN"/>
        </w:rPr>
        <w:t>投标文件</w:t>
      </w:r>
      <w:r>
        <w:rPr>
          <w:rFonts w:hint="eastAsia" w:ascii="宋体" w:hAnsi="宋体" w:eastAsia="宋体" w:cs="宋体"/>
          <w:spacing w:val="2"/>
          <w:sz w:val="24"/>
          <w:szCs w:val="24"/>
          <w:highlight w:val="none"/>
        </w:rPr>
        <w:t>的实</w:t>
      </w:r>
      <w:r>
        <w:rPr>
          <w:rFonts w:hint="eastAsia" w:ascii="宋体" w:hAnsi="宋体" w:eastAsia="宋体" w:cs="宋体"/>
          <w:spacing w:val="1"/>
          <w:sz w:val="24"/>
          <w:szCs w:val="24"/>
          <w:highlight w:val="none"/>
        </w:rPr>
        <w:t>质性内容。供应商的的澄清、说明或补正将作为</w:t>
      </w:r>
      <w:r>
        <w:rPr>
          <w:rFonts w:hint="eastAsia" w:ascii="宋体" w:hAnsi="宋体" w:eastAsia="宋体" w:cs="宋体"/>
          <w:spacing w:val="1"/>
          <w:sz w:val="24"/>
          <w:szCs w:val="24"/>
          <w:highlight w:val="none"/>
          <w:lang w:eastAsia="zh-CN"/>
        </w:rPr>
        <w:t>投标文件</w:t>
      </w:r>
      <w:r>
        <w:rPr>
          <w:rFonts w:hint="eastAsia" w:ascii="宋体" w:hAnsi="宋体" w:eastAsia="宋体" w:cs="宋体"/>
          <w:spacing w:val="1"/>
          <w:sz w:val="24"/>
          <w:szCs w:val="24"/>
          <w:highlight w:val="none"/>
        </w:rPr>
        <w:t>的</w:t>
      </w:r>
      <w:r>
        <w:rPr>
          <w:rFonts w:hint="eastAsia" w:ascii="宋体" w:hAnsi="宋体" w:eastAsia="宋体" w:cs="宋体"/>
          <w:sz w:val="24"/>
          <w:szCs w:val="24"/>
          <w:highlight w:val="none"/>
        </w:rPr>
        <w:t xml:space="preserve"> </w:t>
      </w:r>
      <w:r>
        <w:rPr>
          <w:rFonts w:hint="eastAsia" w:ascii="宋体" w:hAnsi="宋体" w:eastAsia="宋体" w:cs="宋体"/>
          <w:spacing w:val="-10"/>
          <w:sz w:val="24"/>
          <w:szCs w:val="24"/>
          <w:highlight w:val="none"/>
        </w:rPr>
        <w:t>一</w:t>
      </w:r>
      <w:r>
        <w:rPr>
          <w:rFonts w:hint="eastAsia" w:ascii="宋体" w:hAnsi="宋体" w:eastAsia="宋体" w:cs="宋体"/>
          <w:spacing w:val="-7"/>
          <w:sz w:val="24"/>
          <w:szCs w:val="24"/>
          <w:highlight w:val="none"/>
        </w:rPr>
        <w:t>部分。</w:t>
      </w:r>
    </w:p>
    <w:p w14:paraId="556F5F10">
      <w:pPr>
        <w:spacing w:before="1" w:line="360" w:lineRule="auto"/>
        <w:ind w:left="5" w:right="44" w:firstLine="42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注：</w:t>
      </w:r>
      <w:r>
        <w:rPr>
          <w:rFonts w:hint="eastAsia" w:ascii="宋体" w:hAnsi="宋体" w:cs="宋体"/>
          <w:spacing w:val="-7"/>
          <w:sz w:val="24"/>
          <w:szCs w:val="24"/>
          <w:highlight w:val="none"/>
          <w:lang w:eastAsia="zh-CN"/>
        </w:rPr>
        <w:t>评标委员会</w:t>
      </w:r>
      <w:r>
        <w:rPr>
          <w:rFonts w:hint="eastAsia" w:ascii="宋体" w:hAnsi="宋体" w:eastAsia="宋体" w:cs="宋体"/>
          <w:spacing w:val="-7"/>
          <w:sz w:val="24"/>
          <w:szCs w:val="24"/>
          <w:highlight w:val="none"/>
        </w:rPr>
        <w:t>对供应商进行澄清的要求均有时间限制， 并且在供应商澄清页面有倒计时提示，</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供应商应在</w:t>
      </w:r>
      <w:r>
        <w:rPr>
          <w:rFonts w:hint="eastAsia" w:ascii="宋体" w:hAnsi="宋体" w:cs="宋体"/>
          <w:spacing w:val="-2"/>
          <w:sz w:val="24"/>
          <w:szCs w:val="24"/>
          <w:highlight w:val="none"/>
          <w:lang w:eastAsia="zh-CN"/>
        </w:rPr>
        <w:t>评标委员会</w:t>
      </w:r>
      <w:r>
        <w:rPr>
          <w:rFonts w:hint="eastAsia" w:ascii="宋体" w:hAnsi="宋体" w:eastAsia="宋体" w:cs="宋体"/>
          <w:spacing w:val="-2"/>
          <w:sz w:val="24"/>
          <w:szCs w:val="24"/>
          <w:highlight w:val="none"/>
        </w:rPr>
        <w:t>规</w:t>
      </w:r>
      <w:r>
        <w:rPr>
          <w:rFonts w:hint="eastAsia" w:ascii="宋体" w:hAnsi="宋体" w:eastAsia="宋体" w:cs="宋体"/>
          <w:spacing w:val="-1"/>
          <w:sz w:val="24"/>
          <w:szCs w:val="24"/>
          <w:highlight w:val="none"/>
        </w:rPr>
        <w:t>定时间内完成所有操作。</w:t>
      </w:r>
    </w:p>
    <w:p w14:paraId="373CB6BE">
      <w:pPr>
        <w:spacing w:line="360" w:lineRule="auto"/>
        <w:ind w:left="43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7.</w:t>
      </w:r>
      <w:r>
        <w:rPr>
          <w:rFonts w:hint="eastAsia" w:ascii="宋体" w:hAnsi="宋体" w:eastAsia="宋体" w:cs="宋体"/>
          <w:spacing w:val="-4"/>
          <w:sz w:val="24"/>
          <w:szCs w:val="24"/>
          <w:highlight w:val="none"/>
        </w:rPr>
        <w:t xml:space="preserve">5 </w:t>
      </w:r>
      <w:r>
        <w:rPr>
          <w:rFonts w:hint="eastAsia" w:ascii="宋体" w:hAnsi="宋体" w:cs="宋体"/>
          <w:spacing w:val="-4"/>
          <w:sz w:val="24"/>
          <w:szCs w:val="24"/>
          <w:highlight w:val="none"/>
          <w:lang w:val="en-US" w:eastAsia="zh-CN"/>
        </w:rPr>
        <w:t>投标</w:t>
      </w:r>
      <w:r>
        <w:rPr>
          <w:rFonts w:hint="eastAsia" w:ascii="宋体" w:hAnsi="宋体" w:eastAsia="宋体" w:cs="宋体"/>
          <w:spacing w:val="-4"/>
          <w:sz w:val="24"/>
          <w:szCs w:val="24"/>
          <w:highlight w:val="none"/>
          <w:lang w:eastAsia="zh-CN"/>
        </w:rPr>
        <w:t>文件</w:t>
      </w:r>
      <w:r>
        <w:rPr>
          <w:rFonts w:hint="eastAsia" w:ascii="宋体" w:hAnsi="宋体" w:eastAsia="宋体" w:cs="宋体"/>
          <w:spacing w:val="-4"/>
          <w:sz w:val="24"/>
          <w:szCs w:val="24"/>
          <w:highlight w:val="none"/>
        </w:rPr>
        <w:t>报价出现前后不一致的修正规定：</w:t>
      </w:r>
    </w:p>
    <w:p w14:paraId="02EE2844">
      <w:pPr>
        <w:spacing w:before="68" w:line="360" w:lineRule="auto"/>
        <w:ind w:left="425"/>
        <w:rPr>
          <w:rFonts w:hint="eastAsia" w:ascii="宋体" w:hAnsi="宋体" w:eastAsia="宋体" w:cs="宋体"/>
          <w:sz w:val="24"/>
          <w:szCs w:val="24"/>
          <w:highlight w:val="none"/>
        </w:rPr>
      </w:pPr>
      <w:r>
        <w:rPr>
          <w:rFonts w:hint="eastAsia" w:ascii="宋体" w:hAnsi="宋体" w:cs="宋体"/>
          <w:spacing w:val="-1"/>
          <w:sz w:val="24"/>
          <w:szCs w:val="24"/>
          <w:highlight w:val="none"/>
          <w:lang w:val="en-US" w:eastAsia="zh-CN"/>
        </w:rPr>
        <w:t>投标</w:t>
      </w:r>
      <w:r>
        <w:rPr>
          <w:rFonts w:hint="eastAsia" w:ascii="宋体" w:hAnsi="宋体" w:eastAsia="宋体" w:cs="宋体"/>
          <w:spacing w:val="-1"/>
          <w:sz w:val="24"/>
          <w:szCs w:val="24"/>
          <w:highlight w:val="none"/>
          <w:lang w:eastAsia="zh-CN"/>
        </w:rPr>
        <w:t>文件</w:t>
      </w:r>
      <w:r>
        <w:rPr>
          <w:rFonts w:hint="eastAsia" w:ascii="宋体" w:hAnsi="宋体" w:eastAsia="宋体" w:cs="宋体"/>
          <w:spacing w:val="-1"/>
          <w:sz w:val="24"/>
          <w:szCs w:val="24"/>
          <w:highlight w:val="none"/>
        </w:rPr>
        <w:t>中报价一览表内容与</w:t>
      </w:r>
      <w:r>
        <w:rPr>
          <w:rFonts w:hint="eastAsia" w:ascii="宋体" w:hAnsi="宋体" w:eastAsia="宋体" w:cs="宋体"/>
          <w:spacing w:val="-1"/>
          <w:sz w:val="24"/>
          <w:szCs w:val="24"/>
          <w:highlight w:val="none"/>
          <w:lang w:eastAsia="zh-CN"/>
        </w:rPr>
        <w:t>招标文件</w:t>
      </w:r>
      <w:r>
        <w:rPr>
          <w:rFonts w:hint="eastAsia" w:ascii="宋体" w:hAnsi="宋体" w:eastAsia="宋体" w:cs="宋体"/>
          <w:spacing w:val="-1"/>
          <w:sz w:val="24"/>
          <w:szCs w:val="24"/>
          <w:highlight w:val="none"/>
        </w:rPr>
        <w:t>中相应内容不一 致的，以报价</w:t>
      </w:r>
      <w:r>
        <w:rPr>
          <w:rFonts w:hint="eastAsia" w:ascii="宋体" w:hAnsi="宋体" w:cs="宋体"/>
          <w:spacing w:val="-1"/>
          <w:sz w:val="24"/>
          <w:szCs w:val="24"/>
          <w:highlight w:val="none"/>
          <w:lang w:val="en-US" w:eastAsia="zh-CN"/>
        </w:rPr>
        <w:t>一览表</w:t>
      </w:r>
      <w:r>
        <w:rPr>
          <w:rFonts w:hint="eastAsia" w:ascii="宋体" w:hAnsi="宋体" w:eastAsia="宋体" w:cs="宋体"/>
          <w:spacing w:val="-1"/>
          <w:sz w:val="24"/>
          <w:szCs w:val="24"/>
          <w:highlight w:val="none"/>
        </w:rPr>
        <w:t>为</w:t>
      </w:r>
      <w:r>
        <w:rPr>
          <w:rFonts w:hint="eastAsia" w:ascii="宋体" w:hAnsi="宋体" w:eastAsia="宋体" w:cs="宋体"/>
          <w:sz w:val="24"/>
          <w:szCs w:val="24"/>
          <w:highlight w:val="none"/>
        </w:rPr>
        <w:t>准；</w:t>
      </w:r>
    </w:p>
    <w:p w14:paraId="2A03B4FB">
      <w:pPr>
        <w:spacing w:before="69" w:line="360" w:lineRule="auto"/>
        <w:ind w:left="42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大写金额和小写金额不一</w:t>
      </w:r>
      <w:r>
        <w:rPr>
          <w:rFonts w:hint="eastAsia" w:ascii="宋体" w:hAnsi="宋体" w:eastAsia="宋体" w:cs="宋体"/>
          <w:sz w:val="24"/>
          <w:szCs w:val="24"/>
          <w:highlight w:val="none"/>
        </w:rPr>
        <w:t>致的，以大写金额为准；</w:t>
      </w:r>
    </w:p>
    <w:p w14:paraId="08F01679">
      <w:pPr>
        <w:spacing w:before="63" w:line="360" w:lineRule="auto"/>
        <w:ind w:left="43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单价金额小数点或者百分比有明</w:t>
      </w:r>
      <w:r>
        <w:rPr>
          <w:rFonts w:hint="eastAsia" w:ascii="宋体" w:hAnsi="宋体" w:eastAsia="宋体" w:cs="宋体"/>
          <w:spacing w:val="-1"/>
          <w:sz w:val="24"/>
          <w:szCs w:val="24"/>
          <w:highlight w:val="none"/>
        </w:rPr>
        <w:t>显错位的，以报价</w:t>
      </w:r>
      <w:r>
        <w:rPr>
          <w:rFonts w:hint="eastAsia" w:ascii="宋体" w:hAnsi="宋体" w:cs="宋体"/>
          <w:spacing w:val="-1"/>
          <w:sz w:val="24"/>
          <w:szCs w:val="24"/>
          <w:highlight w:val="none"/>
          <w:lang w:val="en-US" w:eastAsia="zh-CN"/>
        </w:rPr>
        <w:t>一览表</w:t>
      </w:r>
      <w:r>
        <w:rPr>
          <w:rFonts w:hint="eastAsia" w:ascii="宋体" w:hAnsi="宋体" w:eastAsia="宋体" w:cs="宋体"/>
          <w:spacing w:val="-1"/>
          <w:sz w:val="24"/>
          <w:szCs w:val="24"/>
          <w:highlight w:val="none"/>
        </w:rPr>
        <w:t>的总价为准，并修改单价；</w:t>
      </w:r>
    </w:p>
    <w:p w14:paraId="36BD9147">
      <w:pPr>
        <w:spacing w:before="70" w:line="360" w:lineRule="auto"/>
        <w:ind w:left="43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总价金额与按单价汇总金额不一致的， 以单价金额计算结果为准</w:t>
      </w:r>
      <w:r>
        <w:rPr>
          <w:rFonts w:hint="eastAsia" w:ascii="宋体" w:hAnsi="宋体" w:eastAsia="宋体" w:cs="宋体"/>
          <w:spacing w:val="-3"/>
          <w:sz w:val="24"/>
          <w:szCs w:val="24"/>
          <w:highlight w:val="none"/>
        </w:rPr>
        <w:t>。</w:t>
      </w:r>
    </w:p>
    <w:p w14:paraId="4A4CA7E6">
      <w:pPr>
        <w:spacing w:line="360" w:lineRule="auto"/>
        <w:rPr>
          <w:rFonts w:hint="eastAsia" w:ascii="宋体" w:hAnsi="宋体" w:eastAsia="宋体" w:cs="宋体"/>
          <w:b/>
          <w:color w:val="000000"/>
          <w:sz w:val="24"/>
          <w:szCs w:val="24"/>
          <w:highlight w:val="none"/>
          <w:lang w:bidi="ar"/>
        </w:rPr>
      </w:pPr>
      <w:r>
        <w:rPr>
          <w:rFonts w:hint="eastAsia" w:ascii="宋体" w:hAnsi="宋体" w:eastAsia="宋体" w:cs="宋体"/>
          <w:b/>
          <w:color w:val="000000"/>
          <w:sz w:val="24"/>
          <w:szCs w:val="24"/>
          <w:highlight w:val="none"/>
          <w:lang w:val="en-US" w:eastAsia="zh-CN" w:bidi="ar"/>
        </w:rPr>
        <w:t>八</w:t>
      </w:r>
      <w:r>
        <w:rPr>
          <w:rFonts w:hint="eastAsia" w:ascii="宋体" w:hAnsi="宋体" w:eastAsia="宋体" w:cs="宋体"/>
          <w:b/>
          <w:color w:val="000000"/>
          <w:sz w:val="24"/>
          <w:szCs w:val="24"/>
          <w:highlight w:val="none"/>
          <w:lang w:bidi="ar"/>
        </w:rPr>
        <w:t>、无效响应</w:t>
      </w:r>
    </w:p>
    <w:p w14:paraId="15DD51D8">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8.1</w:t>
      </w:r>
      <w:r>
        <w:rPr>
          <w:rFonts w:hint="eastAsia" w:ascii="宋体" w:hAnsi="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在比较与评价之前，根据</w:t>
      </w:r>
      <w:r>
        <w:rPr>
          <w:rFonts w:hint="eastAsia" w:ascii="宋体" w:hAnsi="宋体" w:eastAsia="宋体" w:cs="宋体"/>
          <w:spacing w:val="-1"/>
          <w:sz w:val="24"/>
          <w:szCs w:val="24"/>
          <w:highlight w:val="none"/>
          <w:lang w:val="en-US" w:eastAsia="zh-CN"/>
        </w:rPr>
        <w:t>招标文件</w:t>
      </w:r>
      <w:r>
        <w:rPr>
          <w:rFonts w:hint="eastAsia" w:ascii="宋体" w:hAnsi="宋体" w:eastAsia="宋体" w:cs="宋体"/>
          <w:spacing w:val="-1"/>
          <w:sz w:val="24"/>
          <w:szCs w:val="24"/>
          <w:highlight w:val="none"/>
        </w:rPr>
        <w:t xml:space="preserve">的规定， </w:t>
      </w:r>
      <w:r>
        <w:rPr>
          <w:rFonts w:hint="eastAsia" w:ascii="宋体" w:hAnsi="宋体" w:cs="宋体"/>
          <w:spacing w:val="-1"/>
          <w:sz w:val="24"/>
          <w:szCs w:val="24"/>
          <w:highlight w:val="none"/>
          <w:lang w:eastAsia="zh-CN"/>
        </w:rPr>
        <w:t>评标委员会</w:t>
      </w:r>
      <w:r>
        <w:rPr>
          <w:rFonts w:hint="eastAsia" w:ascii="宋体" w:hAnsi="宋体" w:eastAsia="宋体" w:cs="宋体"/>
          <w:spacing w:val="-1"/>
          <w:sz w:val="24"/>
          <w:szCs w:val="24"/>
          <w:highlight w:val="none"/>
        </w:rPr>
        <w:t>要审查每份</w:t>
      </w:r>
      <w:r>
        <w:rPr>
          <w:rFonts w:hint="eastAsia" w:ascii="宋体" w:hAnsi="宋体" w:eastAsia="宋体" w:cs="宋体"/>
          <w:spacing w:val="-1"/>
          <w:sz w:val="24"/>
          <w:szCs w:val="24"/>
          <w:highlight w:val="none"/>
          <w:lang w:eastAsia="zh-CN"/>
        </w:rPr>
        <w:t>投标文件</w:t>
      </w:r>
      <w:r>
        <w:rPr>
          <w:rFonts w:hint="eastAsia" w:ascii="宋体" w:hAnsi="宋体" w:eastAsia="宋体" w:cs="宋体"/>
          <w:spacing w:val="-1"/>
          <w:sz w:val="24"/>
          <w:szCs w:val="24"/>
          <w:highlight w:val="none"/>
        </w:rPr>
        <w:t>是否实质上响应了</w:t>
      </w:r>
      <w:r>
        <w:rPr>
          <w:rFonts w:hint="eastAsia" w:ascii="宋体" w:hAnsi="宋体" w:eastAsia="宋体" w:cs="宋体"/>
          <w:spacing w:val="-1"/>
          <w:sz w:val="24"/>
          <w:szCs w:val="24"/>
          <w:highlight w:val="none"/>
          <w:lang w:eastAsia="zh-CN"/>
        </w:rPr>
        <w:t>招标文件</w:t>
      </w:r>
      <w:r>
        <w:rPr>
          <w:rFonts w:hint="eastAsia" w:ascii="宋体" w:hAnsi="宋体" w:eastAsia="宋体" w:cs="宋体"/>
          <w:spacing w:val="-1"/>
          <w:sz w:val="24"/>
          <w:szCs w:val="24"/>
          <w:highlight w:val="none"/>
        </w:rPr>
        <w:t>的要求</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 xml:space="preserve"> 否则将被认定为无效响应。</w:t>
      </w:r>
    </w:p>
    <w:p w14:paraId="3274F09C">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8.2</w:t>
      </w:r>
      <w:r>
        <w:rPr>
          <w:rFonts w:hint="eastAsia" w:ascii="宋体" w:hAnsi="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如发现下列情况之一的， 其</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将被认定为无效响应：</w:t>
      </w:r>
      <w:bookmarkStart w:id="10" w:name="_bookmark30"/>
      <w:bookmarkEnd w:id="10"/>
      <w:bookmarkStart w:id="11" w:name="_bookmark29"/>
      <w:bookmarkEnd w:id="11"/>
    </w:p>
    <w:p w14:paraId="3B2AF324">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1</w:t>
      </w:r>
      <w:r>
        <w:rPr>
          <w:rFonts w:hint="eastAsia" w:ascii="宋体" w:hAnsi="宋体" w:eastAsia="宋体" w:cs="宋体"/>
          <w:spacing w:val="-1"/>
          <w:sz w:val="24"/>
          <w:szCs w:val="24"/>
          <w:highlight w:val="none"/>
        </w:rPr>
        <w:t>)资格性、符合性证明材料未按照</w:t>
      </w:r>
      <w:r>
        <w:rPr>
          <w:rFonts w:hint="eastAsia" w:ascii="宋体" w:hAnsi="宋体" w:eastAsia="宋体" w:cs="宋体"/>
          <w:spacing w:val="-1"/>
          <w:sz w:val="24"/>
          <w:szCs w:val="24"/>
          <w:highlight w:val="none"/>
          <w:lang w:eastAsia="zh-CN"/>
        </w:rPr>
        <w:t>招标文件</w:t>
      </w:r>
      <w:r>
        <w:rPr>
          <w:rFonts w:hint="eastAsia" w:ascii="宋体" w:hAnsi="宋体" w:eastAsia="宋体" w:cs="宋体"/>
          <w:spacing w:val="-1"/>
          <w:sz w:val="24"/>
          <w:szCs w:val="24"/>
          <w:highlight w:val="none"/>
        </w:rPr>
        <w:t>规定要求签署、盖章的；</w:t>
      </w:r>
    </w:p>
    <w:p w14:paraId="420578FA">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)未满足</w:t>
      </w:r>
      <w:r>
        <w:rPr>
          <w:rFonts w:hint="eastAsia" w:ascii="宋体" w:hAnsi="宋体" w:eastAsia="宋体" w:cs="宋体"/>
          <w:spacing w:val="-1"/>
          <w:sz w:val="24"/>
          <w:szCs w:val="24"/>
          <w:highlight w:val="none"/>
          <w:lang w:eastAsia="zh-CN"/>
        </w:rPr>
        <w:t>招标文件</w:t>
      </w:r>
      <w:r>
        <w:rPr>
          <w:rFonts w:hint="eastAsia" w:ascii="宋体" w:hAnsi="宋体" w:eastAsia="宋体" w:cs="宋体"/>
          <w:spacing w:val="-1"/>
          <w:sz w:val="24"/>
          <w:szCs w:val="24"/>
          <w:highlight w:val="none"/>
        </w:rPr>
        <w:t>中采购项目内容及要求中的实质性要求；</w:t>
      </w:r>
    </w:p>
    <w:p w14:paraId="5009FE61">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3</w:t>
      </w:r>
      <w:r>
        <w:rPr>
          <w:rFonts w:hint="eastAsia" w:ascii="宋体" w:hAnsi="宋体" w:eastAsia="宋体" w:cs="宋体"/>
          <w:spacing w:val="-1"/>
          <w:sz w:val="24"/>
          <w:szCs w:val="24"/>
          <w:highlight w:val="none"/>
        </w:rPr>
        <w:t>)被视为与其他供应商串通，或者其他弄虚作假方式参与</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活动的；</w:t>
      </w:r>
    </w:p>
    <w:p w14:paraId="6006A301">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投标</w:t>
      </w:r>
      <w:r>
        <w:rPr>
          <w:rFonts w:hint="eastAsia" w:ascii="宋体" w:hAnsi="宋体" w:eastAsia="宋体" w:cs="宋体"/>
          <w:spacing w:val="-1"/>
          <w:sz w:val="24"/>
          <w:szCs w:val="24"/>
          <w:highlight w:val="none"/>
        </w:rPr>
        <w:t>报价超过项目预算价或最高控制限价的；</w:t>
      </w:r>
    </w:p>
    <w:p w14:paraId="1CDE7B92">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5</w:t>
      </w:r>
      <w:r>
        <w:rPr>
          <w:rFonts w:hint="eastAsia" w:ascii="宋体" w:hAnsi="宋体" w:eastAsia="宋体" w:cs="宋体"/>
          <w:spacing w:val="-1"/>
          <w:sz w:val="24"/>
          <w:szCs w:val="24"/>
          <w:highlight w:val="none"/>
        </w:rPr>
        <w:t>)属于</w:t>
      </w:r>
      <w:r>
        <w:rPr>
          <w:rFonts w:hint="eastAsia" w:ascii="宋体" w:hAnsi="宋体" w:eastAsia="宋体" w:cs="宋体"/>
          <w:spacing w:val="-1"/>
          <w:sz w:val="24"/>
          <w:szCs w:val="24"/>
          <w:highlight w:val="none"/>
          <w:lang w:eastAsia="zh-CN"/>
        </w:rPr>
        <w:t>招标文件</w:t>
      </w:r>
      <w:r>
        <w:rPr>
          <w:rFonts w:hint="eastAsia" w:ascii="宋体" w:hAnsi="宋体" w:eastAsia="宋体" w:cs="宋体"/>
          <w:spacing w:val="-1"/>
          <w:sz w:val="24"/>
          <w:szCs w:val="24"/>
          <w:highlight w:val="none"/>
        </w:rPr>
        <w:t>规定的无效响应情形；</w:t>
      </w:r>
    </w:p>
    <w:p w14:paraId="44CD746D">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6</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eastAsia="zh-CN"/>
        </w:rPr>
        <w:t>投标文件</w:t>
      </w:r>
      <w:r>
        <w:rPr>
          <w:rFonts w:hint="eastAsia" w:ascii="宋体" w:hAnsi="宋体" w:eastAsia="宋体" w:cs="宋体"/>
          <w:spacing w:val="-1"/>
          <w:sz w:val="24"/>
          <w:szCs w:val="24"/>
          <w:highlight w:val="none"/>
        </w:rPr>
        <w:t>含有采购人不能接受的附加条件的；</w:t>
      </w:r>
    </w:p>
    <w:p w14:paraId="10014EF2">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7</w:t>
      </w:r>
      <w:r>
        <w:rPr>
          <w:rFonts w:hint="eastAsia" w:ascii="宋体" w:hAnsi="宋体" w:eastAsia="宋体" w:cs="宋体"/>
          <w:spacing w:val="-1"/>
          <w:sz w:val="24"/>
          <w:szCs w:val="24"/>
          <w:highlight w:val="none"/>
        </w:rPr>
        <w:t>)不符合法律法规强制性规定的。</w:t>
      </w:r>
    </w:p>
    <w:p w14:paraId="2604BEBB">
      <w:pPr>
        <w:spacing w:line="360" w:lineRule="auto"/>
        <w:rPr>
          <w:rFonts w:hint="eastAsia" w:ascii="宋体" w:hAnsi="宋体" w:eastAsia="宋体" w:cs="宋体"/>
          <w:b/>
          <w:color w:val="000000"/>
          <w:sz w:val="24"/>
          <w:szCs w:val="24"/>
          <w:highlight w:val="none"/>
          <w:lang w:bidi="ar"/>
        </w:rPr>
      </w:pPr>
      <w:r>
        <w:rPr>
          <w:rFonts w:hint="eastAsia" w:ascii="宋体" w:hAnsi="宋体" w:cs="宋体"/>
          <w:b/>
          <w:color w:val="000000"/>
          <w:sz w:val="24"/>
          <w:szCs w:val="24"/>
          <w:highlight w:val="none"/>
          <w:lang w:val="en-US" w:eastAsia="zh-CN" w:bidi="ar"/>
        </w:rPr>
        <w:t>九</w:t>
      </w:r>
      <w:r>
        <w:rPr>
          <w:rFonts w:hint="eastAsia" w:ascii="宋体" w:hAnsi="宋体" w:eastAsia="宋体" w:cs="宋体"/>
          <w:b/>
          <w:color w:val="000000"/>
          <w:sz w:val="24"/>
          <w:szCs w:val="24"/>
          <w:highlight w:val="none"/>
          <w:lang w:bidi="ar"/>
        </w:rPr>
        <w:t>、比较与评价</w:t>
      </w:r>
    </w:p>
    <w:p w14:paraId="5DAB9DB9">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rPr>
        <w:t>.1 经资格性、符合性审查合格的</w:t>
      </w:r>
      <w:r>
        <w:rPr>
          <w:rFonts w:hint="eastAsia" w:ascii="宋体" w:hAnsi="宋体" w:eastAsia="宋体" w:cs="宋体"/>
          <w:spacing w:val="-1"/>
          <w:sz w:val="24"/>
          <w:szCs w:val="24"/>
          <w:highlight w:val="none"/>
          <w:lang w:eastAsia="zh-CN"/>
        </w:rPr>
        <w:t>投标文件</w:t>
      </w:r>
      <w:r>
        <w:rPr>
          <w:rFonts w:hint="eastAsia" w:ascii="宋体" w:hAnsi="宋体" w:eastAsia="宋体" w:cs="宋体"/>
          <w:spacing w:val="-1"/>
          <w:sz w:val="24"/>
          <w:szCs w:val="24"/>
          <w:highlight w:val="none"/>
        </w:rPr>
        <w:t>，</w:t>
      </w:r>
      <w:r>
        <w:rPr>
          <w:rFonts w:hint="eastAsia" w:ascii="宋体" w:hAnsi="宋体" w:cs="宋体"/>
          <w:spacing w:val="-1"/>
          <w:sz w:val="24"/>
          <w:szCs w:val="24"/>
          <w:highlight w:val="none"/>
          <w:lang w:eastAsia="zh-CN"/>
        </w:rPr>
        <w:t>评标委员会</w:t>
      </w:r>
      <w:r>
        <w:rPr>
          <w:rFonts w:hint="eastAsia" w:ascii="宋体" w:hAnsi="宋体" w:eastAsia="宋体" w:cs="宋体"/>
          <w:spacing w:val="-1"/>
          <w:sz w:val="24"/>
          <w:szCs w:val="24"/>
          <w:highlight w:val="none"/>
        </w:rPr>
        <w:t>将根据</w:t>
      </w:r>
      <w:r>
        <w:rPr>
          <w:rFonts w:hint="eastAsia" w:ascii="宋体" w:hAnsi="宋体" w:eastAsia="宋体" w:cs="宋体"/>
          <w:spacing w:val="-1"/>
          <w:sz w:val="24"/>
          <w:szCs w:val="24"/>
          <w:highlight w:val="none"/>
          <w:lang w:eastAsia="zh-CN"/>
        </w:rPr>
        <w:t>招标文件</w:t>
      </w:r>
      <w:r>
        <w:rPr>
          <w:rFonts w:hint="eastAsia" w:ascii="宋体" w:hAnsi="宋体" w:eastAsia="宋体" w:cs="宋体"/>
          <w:spacing w:val="-1"/>
          <w:sz w:val="24"/>
          <w:szCs w:val="24"/>
          <w:highlight w:val="none"/>
        </w:rPr>
        <w:t>确定的评审方法和标准，对其技术部分和商务部分等内容作进一步的比较和评价，详细评审标准见</w:t>
      </w:r>
      <w:r>
        <w:rPr>
          <w:rFonts w:hint="eastAsia" w:ascii="宋体" w:hAnsi="宋体" w:eastAsia="宋体" w:cs="宋体"/>
          <w:spacing w:val="-1"/>
          <w:sz w:val="24"/>
          <w:szCs w:val="24"/>
          <w:highlight w:val="none"/>
          <w:lang w:eastAsia="zh-CN"/>
        </w:rPr>
        <w:t>招标文件</w:t>
      </w:r>
      <w:r>
        <w:rPr>
          <w:rFonts w:hint="eastAsia" w:ascii="宋体" w:hAnsi="宋体" w:eastAsia="宋体" w:cs="宋体"/>
          <w:spacing w:val="-1"/>
          <w:sz w:val="24"/>
          <w:szCs w:val="24"/>
          <w:highlight w:val="none"/>
        </w:rPr>
        <w:t>。</w:t>
      </w:r>
    </w:p>
    <w:p w14:paraId="6A8D736A">
      <w:pPr>
        <w:spacing w:line="360" w:lineRule="auto"/>
        <w:ind w:firstLine="476" w:firstLineChars="200"/>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rPr>
        <w:t>.2 对小型和微型企业、监狱企业、残疾人福利性单位的投标报价给予</w:t>
      </w:r>
      <w:r>
        <w:rPr>
          <w:rFonts w:hint="eastAsia" w:ascii="宋体" w:hAnsi="宋体" w:cs="宋体"/>
          <w:spacing w:val="-1"/>
          <w:sz w:val="24"/>
          <w:szCs w:val="24"/>
          <w:highlight w:val="none"/>
          <w:lang w:val="en-US" w:eastAsia="zh-CN"/>
        </w:rPr>
        <w:t>2</w:t>
      </w:r>
      <w:r>
        <w:rPr>
          <w:rFonts w:hint="eastAsia" w:ascii="宋体" w:hAnsi="宋体" w:eastAsia="宋体" w:cs="宋体"/>
          <w:spacing w:val="-1"/>
          <w:sz w:val="24"/>
          <w:szCs w:val="24"/>
          <w:highlight w:val="none"/>
          <w:lang w:val="en-US" w:eastAsia="zh-CN"/>
        </w:rPr>
        <w:t>0</w:t>
      </w:r>
      <w:r>
        <w:rPr>
          <w:rFonts w:hint="eastAsia" w:ascii="宋体" w:hAnsi="宋体" w:eastAsia="宋体" w:cs="宋体"/>
          <w:spacing w:val="-1"/>
          <w:sz w:val="24"/>
          <w:szCs w:val="24"/>
          <w:highlight w:val="none"/>
        </w:rPr>
        <w:t>%的扣除，用扣除后的价格参与评审。参加本项目的中小企业应当提供《中小企业声明函》（格式详见《政府采购促进中小企业发展</w:t>
      </w:r>
      <w:r>
        <w:rPr>
          <w:rFonts w:hint="eastAsia" w:ascii="宋体" w:hAnsi="宋体" w:eastAsia="宋体" w:cs="宋体"/>
          <w:spacing w:val="-1"/>
          <w:sz w:val="24"/>
          <w:szCs w:val="24"/>
          <w:highlight w:val="none"/>
          <w:lang w:val="en-US" w:eastAsia="zh-CN"/>
        </w:rPr>
        <w:t>管理</w:t>
      </w:r>
      <w:r>
        <w:rPr>
          <w:rFonts w:hint="eastAsia" w:ascii="宋体" w:hAnsi="宋体" w:eastAsia="宋体" w:cs="宋体"/>
          <w:spacing w:val="-1"/>
          <w:sz w:val="24"/>
          <w:szCs w:val="24"/>
          <w:highlight w:val="none"/>
        </w:rPr>
        <w:t>办法》）</w:t>
      </w:r>
      <w:r>
        <w:rPr>
          <w:rFonts w:hint="eastAsia" w:ascii="宋体" w:hAnsi="宋体" w:cs="宋体"/>
          <w:spacing w:val="-1"/>
          <w:sz w:val="24"/>
          <w:szCs w:val="24"/>
          <w:highlight w:val="none"/>
          <w:lang w:eastAsia="zh-CN"/>
        </w:rPr>
        <w:t>。</w:t>
      </w:r>
      <w:r>
        <w:rPr>
          <w:rFonts w:hint="eastAsia" w:ascii="宋体" w:hAnsi="宋体" w:eastAsia="宋体" w:cs="宋体"/>
          <w:spacing w:val="-1"/>
          <w:sz w:val="24"/>
          <w:szCs w:val="24"/>
          <w:highlight w:val="none"/>
        </w:rPr>
        <w:t>没有提供的供应商将被视为不接受评标报价的扣除，用原投标报价参与评审。</w:t>
      </w:r>
    </w:p>
    <w:p w14:paraId="449C0590">
      <w:pPr>
        <w:spacing w:line="360" w:lineRule="auto"/>
        <w:rPr>
          <w:rFonts w:hint="eastAsia" w:ascii="宋体" w:hAnsi="宋体" w:eastAsia="宋体" w:cs="宋体"/>
          <w:b/>
          <w:color w:val="000000"/>
          <w:sz w:val="24"/>
          <w:szCs w:val="24"/>
          <w:highlight w:val="none"/>
          <w:lang w:bidi="ar"/>
        </w:rPr>
      </w:pPr>
      <w:r>
        <w:rPr>
          <w:rFonts w:hint="eastAsia" w:ascii="宋体" w:hAnsi="宋体" w:cs="宋体"/>
          <w:b/>
          <w:color w:val="000000"/>
          <w:sz w:val="24"/>
          <w:szCs w:val="24"/>
          <w:highlight w:val="none"/>
          <w:lang w:val="en-US" w:eastAsia="zh-CN" w:bidi="ar"/>
        </w:rPr>
        <w:t>十、</w:t>
      </w:r>
      <w:r>
        <w:rPr>
          <w:rFonts w:hint="eastAsia" w:ascii="宋体" w:hAnsi="宋体" w:eastAsia="宋体" w:cs="宋体"/>
          <w:b/>
          <w:color w:val="000000"/>
          <w:sz w:val="24"/>
          <w:szCs w:val="24"/>
          <w:highlight w:val="none"/>
          <w:lang w:bidi="ar"/>
        </w:rPr>
        <w:t>项目终止</w:t>
      </w:r>
    </w:p>
    <w:p w14:paraId="41ED14B7">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出现下列情形之一，将导致项目终止：</w:t>
      </w:r>
    </w:p>
    <w:p w14:paraId="0AE8A74D">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 因情况变化，不再符合规定的采购方式适用情形的；</w:t>
      </w:r>
    </w:p>
    <w:p w14:paraId="710E62F7">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 出现影响采购公正的违法、违规行为的；</w:t>
      </w:r>
    </w:p>
    <w:p w14:paraId="712B7999">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w:t>
      </w:r>
      <w:r>
        <w:rPr>
          <w:rFonts w:hint="eastAsia" w:ascii="宋体" w:hAnsi="宋体" w:cs="宋体"/>
          <w:spacing w:val="-1"/>
          <w:sz w:val="24"/>
          <w:szCs w:val="24"/>
          <w:highlight w:val="none"/>
          <w:lang w:val="en-US" w:eastAsia="zh-CN"/>
        </w:rPr>
        <w:t>3</w:t>
      </w:r>
      <w:r>
        <w:rPr>
          <w:rFonts w:hint="eastAsia" w:ascii="宋体" w:hAnsi="宋体" w:eastAsia="宋体" w:cs="宋体"/>
          <w:spacing w:val="-1"/>
          <w:sz w:val="24"/>
          <w:szCs w:val="24"/>
          <w:highlight w:val="none"/>
        </w:rPr>
        <w:t>) 因重大变故，采购任务取消的。</w:t>
      </w:r>
    </w:p>
    <w:p w14:paraId="7D46E235">
      <w:pPr>
        <w:spacing w:line="360" w:lineRule="auto"/>
        <w:rPr>
          <w:rFonts w:hint="eastAsia" w:ascii="宋体" w:hAnsi="宋体" w:eastAsia="宋体" w:cs="宋体"/>
          <w:b/>
          <w:color w:val="000000"/>
          <w:sz w:val="24"/>
          <w:szCs w:val="24"/>
          <w:highlight w:val="none"/>
          <w:lang w:bidi="ar"/>
        </w:rPr>
      </w:pPr>
      <w:r>
        <w:rPr>
          <w:rFonts w:hint="eastAsia" w:ascii="宋体" w:hAnsi="宋体" w:cs="宋体"/>
          <w:b/>
          <w:color w:val="000000"/>
          <w:sz w:val="24"/>
          <w:szCs w:val="24"/>
          <w:highlight w:val="none"/>
          <w:lang w:val="en-US" w:eastAsia="zh-CN" w:bidi="ar"/>
        </w:rPr>
        <w:t>十一、</w:t>
      </w:r>
      <w:r>
        <w:rPr>
          <w:rFonts w:hint="eastAsia" w:ascii="宋体" w:hAnsi="宋体" w:eastAsia="宋体" w:cs="宋体"/>
          <w:b/>
          <w:color w:val="000000"/>
          <w:sz w:val="24"/>
          <w:szCs w:val="24"/>
          <w:highlight w:val="none"/>
          <w:lang w:bidi="ar"/>
        </w:rPr>
        <w:t>保密原则</w:t>
      </w:r>
    </w:p>
    <w:p w14:paraId="27FED750">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11.</w:t>
      </w:r>
      <w:r>
        <w:rPr>
          <w:rFonts w:hint="eastAsia" w:ascii="宋体" w:hAnsi="宋体" w:eastAsia="宋体" w:cs="宋体"/>
          <w:spacing w:val="-1"/>
          <w:sz w:val="24"/>
          <w:szCs w:val="24"/>
          <w:highlight w:val="none"/>
        </w:rPr>
        <w:t>1 评审将在严格保密的情况下进行。</w:t>
      </w:r>
    </w:p>
    <w:p w14:paraId="40BD0F7E">
      <w:pPr>
        <w:spacing w:before="69" w:line="360" w:lineRule="auto"/>
        <w:ind w:left="42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11.2</w:t>
      </w:r>
      <w:r>
        <w:rPr>
          <w:rFonts w:hint="eastAsia" w:ascii="宋体" w:hAnsi="宋体" w:eastAsia="宋体" w:cs="宋体"/>
          <w:spacing w:val="-1"/>
          <w:sz w:val="24"/>
          <w:szCs w:val="24"/>
          <w:highlight w:val="none"/>
        </w:rPr>
        <w:t xml:space="preserve"> 政府采购评审专家应当遵守评审工作纪律，不得泄露评审文件、评审情况和评审中获悉的商业秘密。</w:t>
      </w:r>
    </w:p>
    <w:p w14:paraId="56F28917">
      <w:pPr>
        <w:pStyle w:val="59"/>
        <w:numPr>
          <w:ilvl w:val="0"/>
          <w:numId w:val="0"/>
        </w:numPr>
        <w:tabs>
          <w:tab w:val="left" w:pos="1329"/>
        </w:tabs>
        <w:spacing w:before="156" w:after="0" w:line="240" w:lineRule="auto"/>
        <w:ind w:right="0" w:rightChars="0"/>
        <w:jc w:val="both"/>
        <w:rPr>
          <w:rFonts w:hint="eastAsia" w:ascii="宋体" w:hAnsi="宋体" w:eastAsia="宋体" w:cs="宋体"/>
          <w:b/>
          <w:sz w:val="24"/>
          <w:szCs w:val="24"/>
          <w:highlight w:val="none"/>
        </w:rPr>
      </w:pPr>
      <w:r>
        <w:rPr>
          <w:rFonts w:hint="eastAsia" w:cs="宋体"/>
          <w:b/>
          <w:spacing w:val="3"/>
          <w:sz w:val="24"/>
          <w:szCs w:val="24"/>
          <w:highlight w:val="none"/>
          <w:lang w:val="en-US" w:eastAsia="zh-CN"/>
        </w:rPr>
        <w:t>十二</w:t>
      </w:r>
      <w:r>
        <w:rPr>
          <w:rFonts w:hint="eastAsia" w:ascii="宋体" w:hAnsi="宋体" w:eastAsia="宋体" w:cs="宋体"/>
          <w:b/>
          <w:spacing w:val="3"/>
          <w:sz w:val="24"/>
          <w:szCs w:val="24"/>
          <w:highlight w:val="none"/>
          <w:lang w:val="en-US" w:eastAsia="zh-CN"/>
        </w:rPr>
        <w:t>、</w:t>
      </w:r>
      <w:r>
        <w:rPr>
          <w:rFonts w:hint="eastAsia" w:ascii="宋体" w:hAnsi="宋体" w:eastAsia="宋体" w:cs="宋体"/>
          <w:b/>
          <w:spacing w:val="3"/>
          <w:sz w:val="24"/>
          <w:szCs w:val="24"/>
          <w:highlight w:val="none"/>
        </w:rPr>
        <w:t>评标结果异议</w:t>
      </w:r>
    </w:p>
    <w:p w14:paraId="68EDB821">
      <w:pPr>
        <w:spacing w:before="156" w:line="386" w:lineRule="auto"/>
        <w:ind w:right="425" w:firstLine="480" w:firstLineChars="200"/>
        <w:jc w:val="both"/>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或其他利害关系人对依法必须进行招标的项目的评标结果有异议的，应在中标候选人公示期间提出。招标人将在收到异议之日起 3 日内作出答复；作出答复前，将暂停招标投标活</w:t>
      </w:r>
      <w:r>
        <w:rPr>
          <w:rFonts w:hint="eastAsia" w:ascii="宋体" w:hAnsi="宋体" w:eastAsia="宋体" w:cs="宋体"/>
          <w:w w:val="105"/>
          <w:sz w:val="24"/>
          <w:szCs w:val="24"/>
          <w:highlight w:val="none"/>
        </w:rPr>
        <w:t>动。</w:t>
      </w:r>
    </w:p>
    <w:p w14:paraId="072552F2">
      <w:pPr>
        <w:pStyle w:val="59"/>
        <w:numPr>
          <w:ilvl w:val="0"/>
          <w:numId w:val="0"/>
        </w:numPr>
        <w:tabs>
          <w:tab w:val="left" w:pos="1329"/>
        </w:tabs>
        <w:spacing w:before="156" w:after="0" w:line="240" w:lineRule="auto"/>
        <w:ind w:right="0" w:rightChars="0"/>
        <w:jc w:val="both"/>
        <w:rPr>
          <w:rFonts w:hint="eastAsia" w:ascii="宋体" w:hAnsi="宋体" w:eastAsia="宋体" w:cs="宋体"/>
          <w:b/>
          <w:spacing w:val="3"/>
          <w:sz w:val="24"/>
          <w:szCs w:val="24"/>
          <w:highlight w:val="none"/>
        </w:rPr>
      </w:pPr>
      <w:r>
        <w:rPr>
          <w:rFonts w:hint="eastAsia" w:cs="宋体"/>
          <w:b/>
          <w:spacing w:val="3"/>
          <w:sz w:val="24"/>
          <w:szCs w:val="24"/>
          <w:highlight w:val="none"/>
          <w:lang w:val="en-US" w:eastAsia="zh-CN"/>
        </w:rPr>
        <w:t>十三</w:t>
      </w:r>
      <w:r>
        <w:rPr>
          <w:rFonts w:hint="eastAsia" w:ascii="宋体" w:hAnsi="宋体" w:eastAsia="宋体" w:cs="宋体"/>
          <w:b/>
          <w:spacing w:val="3"/>
          <w:sz w:val="24"/>
          <w:szCs w:val="24"/>
          <w:highlight w:val="none"/>
          <w:lang w:val="en-US" w:eastAsia="zh-CN"/>
        </w:rPr>
        <w:t>、</w:t>
      </w:r>
      <w:r>
        <w:rPr>
          <w:rFonts w:hint="eastAsia" w:ascii="宋体" w:hAnsi="宋体" w:eastAsia="宋体" w:cs="宋体"/>
          <w:b/>
          <w:spacing w:val="3"/>
          <w:sz w:val="24"/>
          <w:szCs w:val="24"/>
          <w:highlight w:val="none"/>
        </w:rPr>
        <w:t>定标方式</w:t>
      </w:r>
    </w:p>
    <w:p w14:paraId="1AA8E4C6">
      <w:pPr>
        <w:pStyle w:val="25"/>
        <w:keepNext w:val="0"/>
        <w:keepLines w:val="0"/>
        <w:widowControl/>
        <w:suppressLineNumbers w:val="0"/>
        <w:spacing w:before="0" w:beforeAutospacing="0" w:after="0" w:afterAutospacing="0" w:line="360" w:lineRule="auto"/>
        <w:ind w:left="479" w:leftChars="228" w:right="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w w:val="105"/>
          <w:sz w:val="24"/>
          <w:szCs w:val="24"/>
          <w:highlight w:val="none"/>
        </w:rPr>
        <w:t>按照</w:t>
      </w:r>
      <w:r>
        <w:rPr>
          <w:rFonts w:hint="eastAsia" w:ascii="宋体" w:hAnsi="宋体" w:cs="宋体"/>
          <w:w w:val="105"/>
          <w:sz w:val="24"/>
          <w:szCs w:val="24"/>
          <w:highlight w:val="none"/>
          <w:lang w:eastAsia="zh-CN"/>
        </w:rPr>
        <w:t>供应商</w:t>
      </w:r>
      <w:r>
        <w:rPr>
          <w:rFonts w:hint="eastAsia" w:ascii="宋体" w:hAnsi="宋体" w:eastAsia="宋体" w:cs="宋体"/>
          <w:w w:val="105"/>
          <w:sz w:val="24"/>
          <w:szCs w:val="24"/>
          <w:highlight w:val="none"/>
        </w:rPr>
        <w:t>须知前附表的规定，招标人或招标人授权的评标委员会依法确定中标人。</w:t>
      </w:r>
      <w:r>
        <w:rPr>
          <w:rFonts w:hint="eastAsia" w:ascii="宋体" w:hAnsi="宋体" w:cs="宋体"/>
          <w:w w:val="105"/>
          <w:sz w:val="24"/>
          <w:szCs w:val="24"/>
          <w:highlight w:val="none"/>
          <w:lang w:val="en-US" w:eastAsia="zh-CN"/>
        </w:rPr>
        <w:t>按照标段顺序（标段一至标段五）确定中标人，投标人最多中两个标段。</w:t>
      </w:r>
    </w:p>
    <w:p w14:paraId="07B5FD30">
      <w:pPr>
        <w:pStyle w:val="59"/>
        <w:numPr>
          <w:ilvl w:val="0"/>
          <w:numId w:val="0"/>
        </w:numPr>
        <w:tabs>
          <w:tab w:val="left" w:pos="1329"/>
        </w:tabs>
        <w:spacing w:before="156" w:after="0" w:line="240" w:lineRule="auto"/>
        <w:ind w:right="0" w:rightChars="0"/>
        <w:jc w:val="both"/>
        <w:rPr>
          <w:rFonts w:hint="eastAsia" w:ascii="宋体" w:hAnsi="宋体" w:eastAsia="宋体" w:cs="宋体"/>
          <w:b/>
          <w:spacing w:val="3"/>
          <w:sz w:val="24"/>
          <w:szCs w:val="24"/>
          <w:highlight w:val="none"/>
        </w:rPr>
      </w:pPr>
      <w:r>
        <w:rPr>
          <w:rFonts w:hint="eastAsia" w:cs="宋体"/>
          <w:b/>
          <w:spacing w:val="3"/>
          <w:sz w:val="24"/>
          <w:szCs w:val="24"/>
          <w:highlight w:val="none"/>
          <w:lang w:val="en-US" w:eastAsia="zh-CN"/>
        </w:rPr>
        <w:t>十四</w:t>
      </w:r>
      <w:r>
        <w:rPr>
          <w:rFonts w:hint="eastAsia" w:ascii="宋体" w:hAnsi="宋体" w:eastAsia="宋体" w:cs="宋体"/>
          <w:b/>
          <w:spacing w:val="3"/>
          <w:sz w:val="24"/>
          <w:szCs w:val="24"/>
          <w:highlight w:val="none"/>
          <w:lang w:val="en-US" w:eastAsia="zh-CN"/>
        </w:rPr>
        <w:t>、</w:t>
      </w:r>
      <w:r>
        <w:rPr>
          <w:rFonts w:hint="eastAsia" w:ascii="宋体" w:hAnsi="宋体" w:eastAsia="宋体" w:cs="宋体"/>
          <w:b/>
          <w:spacing w:val="3"/>
          <w:sz w:val="24"/>
          <w:szCs w:val="24"/>
          <w:highlight w:val="none"/>
        </w:rPr>
        <w:t>中标通知</w:t>
      </w:r>
    </w:p>
    <w:p w14:paraId="48E3AFB8">
      <w:pPr>
        <w:spacing w:before="155" w:line="386" w:lineRule="auto"/>
        <w:ind w:right="424"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在规定的投标有效期内，中标人发</w:t>
      </w:r>
      <w:r>
        <w:rPr>
          <w:rFonts w:hint="eastAsia" w:ascii="宋体" w:hAnsi="宋体" w:eastAsia="宋体" w:cs="宋体"/>
          <w:w w:val="105"/>
          <w:sz w:val="24"/>
          <w:szCs w:val="24"/>
          <w:highlight w:val="none"/>
        </w:rPr>
        <w:t>出中标通知</w:t>
      </w:r>
      <w:r>
        <w:rPr>
          <w:rFonts w:hint="eastAsia" w:ascii="宋体" w:hAnsi="宋体" w:eastAsia="宋体" w:cs="宋体"/>
          <w:sz w:val="24"/>
          <w:szCs w:val="24"/>
          <w:highlight w:val="none"/>
        </w:rPr>
        <w:t>书</w:t>
      </w:r>
      <w:r>
        <w:rPr>
          <w:rFonts w:hint="eastAsia" w:ascii="宋体" w:hAnsi="宋体" w:cs="宋体"/>
          <w:sz w:val="24"/>
          <w:szCs w:val="24"/>
          <w:highlight w:val="none"/>
          <w:lang w:eastAsia="zh-CN"/>
        </w:rPr>
        <w:t>。</w:t>
      </w:r>
    </w:p>
    <w:p w14:paraId="10C56FB5">
      <w:pPr>
        <w:bidi w:val="0"/>
        <w:rPr>
          <w:rFonts w:hint="eastAsia" w:ascii="宋体" w:hAnsi="宋体" w:eastAsia="宋体" w:cs="宋体"/>
          <w:b/>
          <w:kern w:val="2"/>
          <w:sz w:val="24"/>
          <w:szCs w:val="24"/>
          <w:highlight w:val="none"/>
          <w:lang w:val="en-US" w:eastAsia="zh-CN" w:bidi="zh-CN"/>
        </w:rPr>
      </w:pPr>
      <w:r>
        <w:rPr>
          <w:rFonts w:hint="eastAsia" w:ascii="宋体" w:hAnsi="宋体" w:cs="宋体"/>
          <w:b/>
          <w:kern w:val="2"/>
          <w:sz w:val="24"/>
          <w:szCs w:val="24"/>
          <w:highlight w:val="none"/>
          <w:lang w:val="en-US" w:eastAsia="zh-CN" w:bidi="zh-CN"/>
        </w:rPr>
        <w:t>十五</w:t>
      </w:r>
      <w:r>
        <w:rPr>
          <w:rFonts w:hint="eastAsia" w:ascii="宋体" w:hAnsi="宋体" w:eastAsia="宋体" w:cs="宋体"/>
          <w:b/>
          <w:kern w:val="2"/>
          <w:sz w:val="24"/>
          <w:szCs w:val="24"/>
          <w:highlight w:val="none"/>
          <w:lang w:val="en-US" w:eastAsia="zh-CN" w:bidi="zh-CN"/>
        </w:rPr>
        <w:t>、中标结果公告</w:t>
      </w:r>
    </w:p>
    <w:p w14:paraId="0D1295FC">
      <w:pPr>
        <w:spacing w:before="155" w:line="386" w:lineRule="auto"/>
        <w:ind w:right="42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公告期</w:t>
      </w:r>
      <w:r>
        <w:rPr>
          <w:rFonts w:hint="eastAsia" w:ascii="宋体" w:hAnsi="宋体" w:cs="宋体"/>
          <w:sz w:val="24"/>
          <w:szCs w:val="24"/>
          <w:highlight w:val="none"/>
          <w:lang w:val="en-US" w:eastAsia="zh-CN"/>
        </w:rPr>
        <w:t>期限为1个工作日</w:t>
      </w:r>
      <w:r>
        <w:rPr>
          <w:rFonts w:hint="eastAsia" w:ascii="宋体" w:hAnsi="宋体" w:eastAsia="宋体" w:cs="宋体"/>
          <w:sz w:val="24"/>
          <w:szCs w:val="24"/>
          <w:highlight w:val="none"/>
        </w:rPr>
        <w:t>。</w:t>
      </w:r>
    </w:p>
    <w:p w14:paraId="0E338FF5">
      <w:pPr>
        <w:pStyle w:val="59"/>
        <w:numPr>
          <w:ilvl w:val="0"/>
          <w:numId w:val="0"/>
        </w:numPr>
        <w:tabs>
          <w:tab w:val="left" w:pos="441"/>
          <w:tab w:val="left" w:pos="961"/>
        </w:tabs>
        <w:spacing w:before="0" w:after="0" w:line="360" w:lineRule="auto"/>
        <w:ind w:right="349" w:rightChars="166"/>
        <w:jc w:val="both"/>
        <w:rPr>
          <w:rFonts w:hint="eastAsia" w:ascii="宋体" w:hAnsi="宋体" w:eastAsia="宋体" w:cs="宋体"/>
          <w:b/>
          <w:kern w:val="2"/>
          <w:sz w:val="24"/>
          <w:szCs w:val="24"/>
          <w:highlight w:val="none"/>
          <w:lang w:val="en-US" w:eastAsia="zh-CN" w:bidi="zh-CN"/>
        </w:rPr>
      </w:pPr>
      <w:r>
        <w:rPr>
          <w:rFonts w:hint="eastAsia" w:cs="宋体"/>
          <w:b/>
          <w:kern w:val="2"/>
          <w:sz w:val="24"/>
          <w:szCs w:val="24"/>
          <w:highlight w:val="none"/>
          <w:lang w:val="en-US" w:eastAsia="zh-CN" w:bidi="zh-CN"/>
        </w:rPr>
        <w:t>十六</w:t>
      </w:r>
      <w:r>
        <w:rPr>
          <w:rFonts w:hint="eastAsia" w:ascii="宋体" w:hAnsi="宋体" w:eastAsia="宋体" w:cs="宋体"/>
          <w:b/>
          <w:kern w:val="2"/>
          <w:sz w:val="24"/>
          <w:szCs w:val="24"/>
          <w:highlight w:val="none"/>
          <w:lang w:val="en-US" w:eastAsia="zh-CN" w:bidi="zh-CN"/>
        </w:rPr>
        <w:t>、签订合同</w:t>
      </w:r>
    </w:p>
    <w:p w14:paraId="05400E3D">
      <w:pPr>
        <w:keepNext w:val="0"/>
        <w:keepLines w:val="0"/>
        <w:pageBreakBefore w:val="0"/>
        <w:widowControl w:val="0"/>
        <w:kinsoku/>
        <w:wordWrap/>
        <w:overflowPunct/>
        <w:topLinePunct w:val="0"/>
        <w:autoSpaceDE/>
        <w:autoSpaceDN/>
        <w:bidi w:val="0"/>
        <w:adjustRightInd/>
        <w:snapToGrid/>
        <w:spacing w:line="360" w:lineRule="auto"/>
        <w:ind w:right="349" w:rightChars="166"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招标人和中标人应在中标通知书发出之日 起 30 日内，根据招标文件和中标人的投标文件订立书面合同 。中标人无正当理由拒签合同，在签订合同时向招标人 出附加条件，招标人取消其中标资格</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给招标人造成的损失予以赔偿。</w:t>
      </w:r>
    </w:p>
    <w:p w14:paraId="7712FB46">
      <w:pPr>
        <w:keepNext w:val="0"/>
        <w:keepLines w:val="0"/>
        <w:pageBreakBefore w:val="0"/>
        <w:widowControl w:val="0"/>
        <w:kinsoku/>
        <w:wordWrap/>
        <w:overflowPunct/>
        <w:topLinePunct w:val="0"/>
        <w:autoSpaceDE/>
        <w:autoSpaceDN/>
        <w:bidi w:val="0"/>
        <w:adjustRightInd/>
        <w:snapToGrid/>
        <w:spacing w:line="360" w:lineRule="auto"/>
        <w:ind w:right="349" w:rightChars="166"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发出中标通知书后 ，招标人无正当理由拒签合同，或在签订合同时向中标人提出附加条件的 ，招标人向中标人退还投标保证 金；给中标人造成损失的，还应赔偿损失。</w:t>
      </w:r>
    </w:p>
    <w:p w14:paraId="2BA0A6C8">
      <w:pPr>
        <w:pStyle w:val="4"/>
        <w:numPr>
          <w:ilvl w:val="0"/>
          <w:numId w:val="0"/>
        </w:numPr>
        <w:tabs>
          <w:tab w:val="left" w:pos="4027"/>
        </w:tabs>
        <w:spacing w:before="25" w:after="0" w:line="360" w:lineRule="auto"/>
        <w:ind w:left="-1" w:leftChars="0" w:right="358" w:rightChars="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十七</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重新招标和不再招标</w:t>
      </w:r>
    </w:p>
    <w:p w14:paraId="462A686B">
      <w:pPr>
        <w:pStyle w:val="59"/>
        <w:numPr>
          <w:ilvl w:val="0"/>
          <w:numId w:val="0"/>
        </w:numPr>
        <w:tabs>
          <w:tab w:val="left" w:pos="770"/>
        </w:tabs>
        <w:spacing w:before="17" w:after="0" w:line="360" w:lineRule="auto"/>
        <w:ind w:left="318" w:leftChars="0" w:right="0" w:rightChars="0"/>
        <w:jc w:val="both"/>
        <w:rPr>
          <w:rFonts w:hint="eastAsia" w:ascii="宋体" w:hAnsi="宋体" w:eastAsia="宋体" w:cs="宋体"/>
          <w:b/>
          <w:bCs/>
          <w:kern w:val="2"/>
          <w:sz w:val="24"/>
          <w:szCs w:val="24"/>
          <w:highlight w:val="none"/>
          <w:lang w:val="en-US" w:eastAsia="zh-CN" w:bidi="ar-SA"/>
        </w:rPr>
      </w:pPr>
      <w:r>
        <w:rPr>
          <w:rFonts w:hint="eastAsia" w:cs="宋体"/>
          <w:b/>
          <w:bCs/>
          <w:kern w:val="2"/>
          <w:sz w:val="24"/>
          <w:szCs w:val="24"/>
          <w:highlight w:val="none"/>
          <w:lang w:val="en-US" w:eastAsia="zh-CN" w:bidi="ar-SA"/>
        </w:rPr>
        <w:t>17.</w:t>
      </w:r>
      <w:r>
        <w:rPr>
          <w:rFonts w:hint="eastAsia" w:ascii="宋体" w:hAnsi="宋体" w:eastAsia="宋体" w:cs="宋体"/>
          <w:b/>
          <w:bCs/>
          <w:kern w:val="2"/>
          <w:sz w:val="24"/>
          <w:szCs w:val="24"/>
          <w:highlight w:val="none"/>
          <w:lang w:val="en-US" w:eastAsia="zh-CN" w:bidi="ar-SA"/>
        </w:rPr>
        <w:t>1重新招标</w:t>
      </w:r>
    </w:p>
    <w:p w14:paraId="669E2AC5">
      <w:pPr>
        <w:keepNext w:val="0"/>
        <w:keepLines w:val="0"/>
        <w:pageBreakBefore w:val="0"/>
        <w:widowControl w:val="0"/>
        <w:kinsoku/>
        <w:wordWrap/>
        <w:overflowPunct/>
        <w:topLinePunct w:val="0"/>
        <w:autoSpaceDE/>
        <w:autoSpaceDN/>
        <w:bidi w:val="0"/>
        <w:adjustRightInd/>
        <w:snapToGrid/>
        <w:spacing w:line="360" w:lineRule="auto"/>
        <w:ind w:right="349" w:rightChars="166"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有下列情形之一的，招标人将重新招标：</w:t>
      </w:r>
    </w:p>
    <w:p w14:paraId="41E9558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500" w:leftChars="0" w:right="349" w:rightChars="166"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投标截止时间止，</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少于3</w:t>
      </w:r>
      <w:r>
        <w:rPr>
          <w:rFonts w:hint="eastAsia" w:ascii="宋体" w:hAnsi="宋体" w:cs="宋体"/>
          <w:sz w:val="24"/>
          <w:szCs w:val="24"/>
          <w:highlight w:val="none"/>
          <w:lang w:val="en-US" w:eastAsia="zh-CN"/>
        </w:rPr>
        <w:t>家</w:t>
      </w:r>
      <w:r>
        <w:rPr>
          <w:rFonts w:hint="eastAsia" w:ascii="宋体" w:hAnsi="宋体" w:eastAsia="宋体" w:cs="宋体"/>
          <w:sz w:val="24"/>
          <w:szCs w:val="24"/>
          <w:highlight w:val="none"/>
        </w:rPr>
        <w:t xml:space="preserve">的； </w:t>
      </w:r>
    </w:p>
    <w:p w14:paraId="5F0698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00" w:leftChars="0" w:right="349" w:rightChars="166"/>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(2)经评标委员会评审后</w:t>
      </w:r>
      <w:r>
        <w:rPr>
          <w:rFonts w:hint="eastAsia" w:ascii="宋体" w:hAnsi="宋体" w:cs="宋体"/>
          <w:sz w:val="24"/>
          <w:szCs w:val="24"/>
          <w:highlight w:val="none"/>
          <w:lang w:val="en-US" w:eastAsia="zh-CN"/>
        </w:rPr>
        <w:t>符合条件的供应商少于3家的</w:t>
      </w:r>
      <w:r>
        <w:rPr>
          <w:rFonts w:hint="eastAsia" w:ascii="宋体" w:hAnsi="宋体" w:eastAsia="宋体" w:cs="宋体"/>
          <w:sz w:val="24"/>
          <w:szCs w:val="24"/>
          <w:highlight w:val="none"/>
        </w:rPr>
        <w:t>；</w:t>
      </w:r>
    </w:p>
    <w:p w14:paraId="6C0DBD51">
      <w:pPr>
        <w:pStyle w:val="59"/>
        <w:numPr>
          <w:ilvl w:val="0"/>
          <w:numId w:val="0"/>
        </w:numPr>
        <w:tabs>
          <w:tab w:val="left" w:pos="770"/>
        </w:tabs>
        <w:spacing w:before="0" w:after="0" w:line="360" w:lineRule="auto"/>
        <w:ind w:left="318" w:leftChars="0" w:right="0" w:rightChars="0"/>
        <w:jc w:val="both"/>
        <w:rPr>
          <w:rFonts w:hint="eastAsia" w:ascii="宋体" w:hAnsi="宋体" w:eastAsia="宋体" w:cs="宋体"/>
          <w:b/>
          <w:bCs/>
          <w:kern w:val="2"/>
          <w:sz w:val="24"/>
          <w:szCs w:val="24"/>
          <w:highlight w:val="none"/>
          <w:lang w:val="en-US" w:eastAsia="zh-CN" w:bidi="ar-SA"/>
        </w:rPr>
      </w:pPr>
      <w:r>
        <w:rPr>
          <w:rFonts w:hint="eastAsia" w:cs="宋体"/>
          <w:b/>
          <w:bCs/>
          <w:kern w:val="2"/>
          <w:sz w:val="24"/>
          <w:szCs w:val="24"/>
          <w:highlight w:val="none"/>
          <w:lang w:val="en-US" w:eastAsia="zh-CN" w:bidi="ar-SA"/>
        </w:rPr>
        <w:t>17</w:t>
      </w:r>
      <w:r>
        <w:rPr>
          <w:rFonts w:hint="eastAsia" w:ascii="宋体" w:hAnsi="宋体" w:eastAsia="宋体" w:cs="宋体"/>
          <w:b/>
          <w:bCs/>
          <w:kern w:val="2"/>
          <w:sz w:val="24"/>
          <w:szCs w:val="24"/>
          <w:highlight w:val="none"/>
          <w:lang w:val="en-US" w:eastAsia="zh-CN" w:bidi="ar-SA"/>
        </w:rPr>
        <w:t>.2不再招标</w:t>
      </w:r>
    </w:p>
    <w:p w14:paraId="036D38AB">
      <w:pPr>
        <w:keepNext w:val="0"/>
        <w:keepLines w:val="0"/>
        <w:pageBreakBefore w:val="0"/>
        <w:widowControl w:val="0"/>
        <w:kinsoku/>
        <w:wordWrap/>
        <w:overflowPunct/>
        <w:topLinePunct w:val="0"/>
        <w:autoSpaceDE/>
        <w:autoSpaceDN/>
        <w:bidi w:val="0"/>
        <w:adjustRightInd/>
        <w:snapToGrid/>
        <w:spacing w:line="360" w:lineRule="auto"/>
        <w:ind w:right="349" w:rightChars="166" w:firstLine="480" w:firstLineChars="200"/>
        <w:jc w:val="left"/>
        <w:textAlignment w:val="auto"/>
        <w:rPr>
          <w:rFonts w:hint="eastAsia" w:ascii="宋体" w:hAnsi="宋体" w:eastAsia="宋体" w:cs="宋体"/>
          <w:b/>
          <w:w w:val="110"/>
          <w:sz w:val="24"/>
          <w:szCs w:val="24"/>
          <w:highlight w:val="none"/>
          <w:lang w:val="en-US" w:eastAsia="zh-CN"/>
        </w:rPr>
      </w:pPr>
      <w:r>
        <w:rPr>
          <w:rFonts w:hint="eastAsia" w:ascii="宋体" w:hAnsi="宋体" w:eastAsia="宋体" w:cs="宋体"/>
          <w:sz w:val="24"/>
          <w:szCs w:val="24"/>
          <w:highlight w:val="none"/>
        </w:rPr>
        <w:t>重新招标后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仍少于3个或者所有投标被否决的，属于必须审批或核准的工程建设项目，经原审批或核准部门批准后不再进行招标。</w:t>
      </w:r>
    </w:p>
    <w:p w14:paraId="49BFB9F0">
      <w:pPr>
        <w:pStyle w:val="59"/>
        <w:numPr>
          <w:ilvl w:val="0"/>
          <w:numId w:val="0"/>
        </w:numPr>
        <w:tabs>
          <w:tab w:val="left" w:pos="770"/>
        </w:tabs>
        <w:spacing w:before="0" w:after="0" w:line="360" w:lineRule="auto"/>
        <w:ind w:left="318" w:leftChars="0" w:right="0" w:rightChars="0"/>
        <w:jc w:val="both"/>
        <w:rPr>
          <w:rFonts w:hint="eastAsia" w:ascii="宋体" w:hAnsi="宋体" w:eastAsia="宋体" w:cs="宋体"/>
          <w:b/>
          <w:bCs/>
          <w:kern w:val="2"/>
          <w:sz w:val="24"/>
          <w:szCs w:val="24"/>
          <w:highlight w:val="none"/>
          <w:lang w:val="en-US" w:eastAsia="zh-CN" w:bidi="ar-SA"/>
        </w:rPr>
      </w:pPr>
      <w:r>
        <w:rPr>
          <w:rFonts w:hint="eastAsia" w:cs="宋体"/>
          <w:b/>
          <w:bCs/>
          <w:kern w:val="2"/>
          <w:sz w:val="24"/>
          <w:szCs w:val="24"/>
          <w:highlight w:val="none"/>
          <w:lang w:val="en-US" w:eastAsia="zh-CN" w:bidi="ar-SA"/>
        </w:rPr>
        <w:t>十八</w:t>
      </w:r>
      <w:r>
        <w:rPr>
          <w:rFonts w:hint="eastAsia" w:ascii="宋体" w:hAnsi="宋体" w:eastAsia="宋体" w:cs="宋体"/>
          <w:b/>
          <w:bCs/>
          <w:kern w:val="2"/>
          <w:sz w:val="24"/>
          <w:szCs w:val="24"/>
          <w:highlight w:val="none"/>
          <w:lang w:val="en-US" w:eastAsia="zh-CN" w:bidi="ar-SA"/>
        </w:rPr>
        <w:t>、纪律和监督</w:t>
      </w:r>
    </w:p>
    <w:p w14:paraId="2103A06F">
      <w:pPr>
        <w:spacing w:before="157" w:line="386" w:lineRule="auto"/>
        <w:ind w:right="569" w:rightChars="271"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招标人不得泄露招标投标活动中应保密的情况和资料，不得与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串通损害国家利益 、</w:t>
      </w:r>
      <w:r>
        <w:rPr>
          <w:rFonts w:hint="eastAsia" w:ascii="宋体" w:hAnsi="宋体" w:eastAsia="宋体" w:cs="宋体"/>
          <w:w w:val="105"/>
          <w:sz w:val="24"/>
          <w:szCs w:val="24"/>
          <w:highlight w:val="none"/>
        </w:rPr>
        <w:t>社会公共利益或他人合法权益 。</w:t>
      </w:r>
    </w:p>
    <w:p w14:paraId="6C7ECE16">
      <w:pPr>
        <w:pStyle w:val="59"/>
        <w:numPr>
          <w:ilvl w:val="0"/>
          <w:numId w:val="0"/>
        </w:numPr>
        <w:tabs>
          <w:tab w:val="left" w:pos="1410"/>
        </w:tabs>
        <w:spacing w:before="0" w:after="0" w:line="255" w:lineRule="exact"/>
        <w:ind w:right="569" w:rightChars="271" w:firstLine="504" w:firstLineChars="200"/>
        <w:jc w:val="left"/>
        <w:rPr>
          <w:rFonts w:hint="eastAsia" w:ascii="宋体" w:hAnsi="宋体" w:eastAsia="宋体" w:cs="宋体"/>
          <w:sz w:val="24"/>
          <w:szCs w:val="24"/>
          <w:highlight w:val="none"/>
        </w:rPr>
      </w:pPr>
      <w:r>
        <w:rPr>
          <w:rFonts w:hint="eastAsia" w:cs="宋体"/>
          <w:w w:val="105"/>
          <w:sz w:val="24"/>
          <w:szCs w:val="24"/>
          <w:highlight w:val="none"/>
          <w:lang w:val="en-US" w:eastAsia="zh-CN"/>
        </w:rPr>
        <w:t>18</w:t>
      </w:r>
      <w:r>
        <w:rPr>
          <w:rFonts w:hint="eastAsia" w:ascii="宋体" w:hAnsi="宋体" w:eastAsia="宋体" w:cs="宋体"/>
          <w:w w:val="105"/>
          <w:sz w:val="24"/>
          <w:szCs w:val="24"/>
          <w:highlight w:val="none"/>
          <w:lang w:val="en-US" w:eastAsia="zh-CN"/>
        </w:rPr>
        <w:t>.2.</w:t>
      </w:r>
      <w:r>
        <w:rPr>
          <w:rFonts w:hint="eastAsia" w:ascii="宋体" w:hAnsi="宋体" w:eastAsia="宋体" w:cs="宋体"/>
          <w:w w:val="105"/>
          <w:sz w:val="24"/>
          <w:szCs w:val="24"/>
          <w:highlight w:val="none"/>
        </w:rPr>
        <w:t>对</w:t>
      </w:r>
      <w:r>
        <w:rPr>
          <w:rFonts w:hint="eastAsia" w:cs="宋体"/>
          <w:w w:val="105"/>
          <w:sz w:val="24"/>
          <w:szCs w:val="24"/>
          <w:highlight w:val="none"/>
          <w:lang w:eastAsia="zh-CN"/>
        </w:rPr>
        <w:t>供应商</w:t>
      </w:r>
      <w:r>
        <w:rPr>
          <w:rFonts w:hint="eastAsia" w:ascii="宋体" w:hAnsi="宋体" w:eastAsia="宋体" w:cs="宋体"/>
          <w:w w:val="105"/>
          <w:sz w:val="24"/>
          <w:szCs w:val="24"/>
          <w:highlight w:val="none"/>
        </w:rPr>
        <w:t>的纪律要求</w:t>
      </w:r>
    </w:p>
    <w:p w14:paraId="06C3F81A">
      <w:pPr>
        <w:spacing w:before="155" w:line="386" w:lineRule="auto"/>
        <w:ind w:right="569" w:rightChars="271" w:firstLine="496" w:firstLineChars="200"/>
        <w:jc w:val="both"/>
        <w:rPr>
          <w:rFonts w:hint="eastAsia" w:ascii="宋体" w:hAnsi="宋体" w:eastAsia="宋体" w:cs="宋体"/>
          <w:sz w:val="24"/>
          <w:szCs w:val="24"/>
          <w:highlight w:val="none"/>
        </w:rPr>
      </w:pPr>
      <w:r>
        <w:rPr>
          <w:rFonts w:hint="eastAsia" w:ascii="宋体" w:hAnsi="宋体" w:cs="宋体"/>
          <w:spacing w:val="4"/>
          <w:sz w:val="24"/>
          <w:szCs w:val="24"/>
          <w:highlight w:val="none"/>
          <w:lang w:eastAsia="zh-CN"/>
        </w:rPr>
        <w:t>供应商</w:t>
      </w:r>
      <w:r>
        <w:rPr>
          <w:rFonts w:hint="eastAsia" w:ascii="宋体" w:hAnsi="宋体" w:eastAsia="宋体" w:cs="宋体"/>
          <w:spacing w:val="4"/>
          <w:sz w:val="24"/>
          <w:szCs w:val="24"/>
          <w:highlight w:val="none"/>
        </w:rPr>
        <w:t>不得相互串通投标或与招标人串通投标，不得向招标人或评标委员会成员行贿谋取中</w:t>
      </w:r>
      <w:r>
        <w:rPr>
          <w:rFonts w:hint="eastAsia" w:ascii="宋体" w:hAnsi="宋体" w:eastAsia="宋体" w:cs="宋体"/>
          <w:sz w:val="24"/>
          <w:szCs w:val="24"/>
          <w:highlight w:val="none"/>
        </w:rPr>
        <w:t>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不得以他人名义投标或以其他方式弄虚作假骗取中标；</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不得以任何方式干扰、影响评</w:t>
      </w:r>
      <w:r>
        <w:rPr>
          <w:rFonts w:hint="eastAsia" w:ascii="宋体" w:hAnsi="宋体" w:eastAsia="宋体" w:cs="宋体"/>
          <w:spacing w:val="-1"/>
          <w:w w:val="105"/>
          <w:sz w:val="24"/>
          <w:szCs w:val="24"/>
          <w:highlight w:val="none"/>
        </w:rPr>
        <w:t>标工 作。</w:t>
      </w:r>
    </w:p>
    <w:p w14:paraId="2AA438A6">
      <w:pPr>
        <w:pStyle w:val="59"/>
        <w:numPr>
          <w:ilvl w:val="0"/>
          <w:numId w:val="0"/>
        </w:numPr>
        <w:tabs>
          <w:tab w:val="left" w:pos="1410"/>
        </w:tabs>
        <w:spacing w:before="0" w:after="0" w:line="255" w:lineRule="exact"/>
        <w:ind w:right="569" w:rightChars="271" w:firstLine="504" w:firstLineChars="200"/>
        <w:jc w:val="both"/>
        <w:rPr>
          <w:rFonts w:hint="eastAsia" w:ascii="宋体" w:hAnsi="宋体" w:eastAsia="宋体" w:cs="宋体"/>
          <w:sz w:val="24"/>
          <w:szCs w:val="24"/>
          <w:highlight w:val="none"/>
        </w:rPr>
      </w:pPr>
      <w:r>
        <w:rPr>
          <w:rFonts w:hint="eastAsia" w:cs="宋体"/>
          <w:w w:val="105"/>
          <w:sz w:val="24"/>
          <w:szCs w:val="24"/>
          <w:highlight w:val="none"/>
          <w:lang w:val="en-US" w:eastAsia="zh-CN"/>
        </w:rPr>
        <w:t>18</w:t>
      </w:r>
      <w:r>
        <w:rPr>
          <w:rFonts w:hint="eastAsia" w:ascii="宋体" w:hAnsi="宋体" w:eastAsia="宋体" w:cs="宋体"/>
          <w:w w:val="105"/>
          <w:sz w:val="24"/>
          <w:szCs w:val="24"/>
          <w:highlight w:val="none"/>
          <w:lang w:val="en-US" w:eastAsia="zh-CN"/>
        </w:rPr>
        <w:t>.3.</w:t>
      </w:r>
      <w:r>
        <w:rPr>
          <w:rFonts w:hint="eastAsia" w:ascii="宋体" w:hAnsi="宋体" w:eastAsia="宋体" w:cs="宋体"/>
          <w:w w:val="105"/>
          <w:sz w:val="24"/>
          <w:szCs w:val="24"/>
          <w:highlight w:val="none"/>
        </w:rPr>
        <w:t>对评标委员会成员的纪律要求</w:t>
      </w:r>
    </w:p>
    <w:p w14:paraId="093615C0">
      <w:pPr>
        <w:spacing w:before="157" w:line="386" w:lineRule="auto"/>
        <w:ind w:right="569" w:rightChars="271" w:firstLine="496" w:firstLineChars="200"/>
        <w:jc w:val="both"/>
        <w:rPr>
          <w:rFonts w:hint="eastAsia" w:ascii="宋体" w:hAnsi="宋体" w:eastAsia="宋体" w:cs="宋体"/>
          <w:spacing w:val="2"/>
          <w:sz w:val="24"/>
          <w:szCs w:val="24"/>
          <w:highlight w:val="none"/>
        </w:rPr>
      </w:pPr>
      <w:r>
        <w:rPr>
          <w:rFonts w:hint="eastAsia" w:ascii="宋体" w:hAnsi="宋体" w:eastAsia="宋体" w:cs="宋体"/>
          <w:spacing w:val="4"/>
          <w:sz w:val="24"/>
          <w:szCs w:val="24"/>
          <w:highlight w:val="none"/>
        </w:rPr>
        <w:t>评标委员会成员不得收受他人的财物或其他好处，不得向他人透露对投标文件的评审和比</w:t>
      </w:r>
      <w:r>
        <w:rPr>
          <w:rFonts w:hint="eastAsia" w:ascii="宋体" w:hAnsi="宋体" w:eastAsia="宋体" w:cs="宋体"/>
          <w:sz w:val="24"/>
          <w:szCs w:val="24"/>
          <w:highlight w:val="none"/>
        </w:rPr>
        <w:t xml:space="preserve">较、中标候选人的推荐情况以及评标有关的其他情况。在评标活动中，评标委员会成员应客观、 </w:t>
      </w:r>
      <w:r>
        <w:rPr>
          <w:rFonts w:hint="eastAsia" w:ascii="宋体" w:hAnsi="宋体" w:eastAsia="宋体" w:cs="宋体"/>
          <w:spacing w:val="2"/>
          <w:sz w:val="24"/>
          <w:szCs w:val="24"/>
          <w:highlight w:val="none"/>
        </w:rPr>
        <w:t>公正地履行职责，遵守职业道德，不得擅离职守，影响评标程序正常进行，不得使用第三章“评标办法”没有规定的评审因素和标准进行评标。</w:t>
      </w:r>
    </w:p>
    <w:p w14:paraId="45C423BA">
      <w:pPr>
        <w:spacing w:before="157" w:line="386" w:lineRule="auto"/>
        <w:ind w:right="569" w:rightChars="271" w:firstLine="488" w:firstLineChars="200"/>
        <w:jc w:val="both"/>
        <w:rPr>
          <w:rFonts w:hint="eastAsia" w:ascii="宋体" w:hAnsi="宋体" w:eastAsia="宋体" w:cs="宋体"/>
          <w:spacing w:val="2"/>
          <w:sz w:val="24"/>
          <w:szCs w:val="24"/>
          <w:highlight w:val="none"/>
        </w:rPr>
      </w:pPr>
      <w:r>
        <w:rPr>
          <w:rFonts w:hint="eastAsia" w:ascii="宋体" w:hAnsi="宋体" w:cs="宋体"/>
          <w:spacing w:val="2"/>
          <w:sz w:val="24"/>
          <w:szCs w:val="24"/>
          <w:highlight w:val="none"/>
          <w:lang w:val="en-US" w:eastAsia="zh-CN"/>
        </w:rPr>
        <w:t>18</w:t>
      </w:r>
      <w:r>
        <w:rPr>
          <w:rFonts w:hint="eastAsia" w:ascii="宋体" w:hAnsi="宋体" w:eastAsia="宋体" w:cs="宋体"/>
          <w:spacing w:val="2"/>
          <w:sz w:val="24"/>
          <w:szCs w:val="24"/>
          <w:highlight w:val="none"/>
          <w:lang w:val="en-US" w:eastAsia="zh-CN"/>
        </w:rPr>
        <w:t>.4.</w:t>
      </w:r>
      <w:r>
        <w:rPr>
          <w:rFonts w:hint="eastAsia" w:ascii="宋体" w:hAnsi="宋体" w:eastAsia="宋体" w:cs="宋体"/>
          <w:spacing w:val="2"/>
          <w:sz w:val="24"/>
          <w:szCs w:val="24"/>
          <w:highlight w:val="none"/>
        </w:rPr>
        <w:t>对与评标活动有关的工作人员的纪律要求</w:t>
      </w:r>
    </w:p>
    <w:p w14:paraId="7A009EF5">
      <w:pPr>
        <w:spacing w:before="157" w:line="386" w:lineRule="auto"/>
        <w:ind w:right="569" w:rightChars="271"/>
        <w:jc w:val="both"/>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与评标活动有关的工作人员不得收受他人的财物或其他好处，不得向他人透露对投标文件 的评审和比较、中标候选人的推荐情况以及评标有关的其他情况。在评标活 动中，与评标活动有关的工作人员不得擅离职守，影响评标程序正常进行。</w:t>
      </w:r>
    </w:p>
    <w:p w14:paraId="6205E301">
      <w:pPr>
        <w:spacing w:before="157" w:line="386" w:lineRule="auto"/>
        <w:ind w:right="569" w:rightChars="271" w:firstLine="488" w:firstLineChars="200"/>
        <w:jc w:val="both"/>
        <w:rPr>
          <w:rFonts w:hint="eastAsia" w:ascii="宋体" w:hAnsi="宋体" w:eastAsia="宋体" w:cs="宋体"/>
          <w:spacing w:val="2"/>
          <w:sz w:val="24"/>
          <w:szCs w:val="24"/>
          <w:highlight w:val="none"/>
        </w:rPr>
      </w:pPr>
      <w:r>
        <w:rPr>
          <w:rFonts w:hint="eastAsia" w:ascii="宋体" w:hAnsi="宋体" w:cs="宋体"/>
          <w:spacing w:val="2"/>
          <w:sz w:val="24"/>
          <w:szCs w:val="24"/>
          <w:highlight w:val="none"/>
          <w:lang w:val="en-US" w:eastAsia="zh-CN"/>
        </w:rPr>
        <w:t>18</w:t>
      </w: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投诉</w:t>
      </w:r>
    </w:p>
    <w:p w14:paraId="4B3585C4">
      <w:pPr>
        <w:spacing w:before="157" w:line="386" w:lineRule="auto"/>
        <w:ind w:right="569" w:rightChars="271" w:firstLine="488" w:firstLineChars="200"/>
        <w:jc w:val="both"/>
        <w:rPr>
          <w:rFonts w:hint="eastAsia" w:ascii="宋体" w:hAnsi="宋体" w:eastAsia="宋体" w:cs="宋体"/>
          <w:spacing w:val="2"/>
          <w:sz w:val="24"/>
          <w:szCs w:val="24"/>
          <w:highlight w:val="none"/>
          <w:lang w:eastAsia="zh-CN"/>
        </w:rPr>
      </w:pPr>
      <w:r>
        <w:rPr>
          <w:rFonts w:hint="eastAsia" w:ascii="宋体" w:hAnsi="宋体" w:cs="宋体"/>
          <w:spacing w:val="2"/>
          <w:sz w:val="24"/>
          <w:szCs w:val="24"/>
          <w:highlight w:val="none"/>
          <w:lang w:val="en-US" w:eastAsia="zh-CN"/>
        </w:rPr>
        <w:t>18</w:t>
      </w:r>
      <w:r>
        <w:rPr>
          <w:rFonts w:hint="eastAsia" w:ascii="宋体" w:hAnsi="宋体" w:eastAsia="宋体" w:cs="宋体"/>
          <w:spacing w:val="2"/>
          <w:sz w:val="24"/>
          <w:szCs w:val="24"/>
          <w:highlight w:val="none"/>
          <w:lang w:val="en-US" w:eastAsia="zh-CN"/>
        </w:rPr>
        <w:t>.5.1、</w:t>
      </w:r>
      <w:r>
        <w:rPr>
          <w:rFonts w:hint="eastAsia" w:ascii="宋体" w:hAnsi="宋体" w:cs="宋体"/>
          <w:spacing w:val="2"/>
          <w:sz w:val="24"/>
          <w:szCs w:val="24"/>
          <w:highlight w:val="none"/>
          <w:lang w:eastAsia="zh-CN"/>
        </w:rPr>
        <w:t>供应商</w:t>
      </w:r>
      <w:r>
        <w:rPr>
          <w:rFonts w:hint="eastAsia" w:ascii="宋体" w:hAnsi="宋体" w:eastAsia="宋体" w:cs="宋体"/>
          <w:spacing w:val="2"/>
          <w:sz w:val="24"/>
          <w:szCs w:val="24"/>
          <w:highlight w:val="none"/>
        </w:rPr>
        <w:t>或其他利害关系人认为招标投标活动不符合法律、行政法规规定</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rPr>
        <w:t>的，可以自知道或应当知道之日起 10 日内向有关行政监督部门投诉。投诉应有明确的请求和必要的证明材料</w:t>
      </w:r>
      <w:r>
        <w:rPr>
          <w:rFonts w:hint="eastAsia" w:ascii="宋体" w:hAnsi="宋体" w:eastAsia="宋体" w:cs="宋体"/>
          <w:spacing w:val="2"/>
          <w:sz w:val="24"/>
          <w:szCs w:val="24"/>
          <w:highlight w:val="none"/>
          <w:lang w:eastAsia="zh-CN"/>
        </w:rPr>
        <w:t>，监督部门的联系方式见</w:t>
      </w:r>
      <w:r>
        <w:rPr>
          <w:rFonts w:hint="eastAsia" w:ascii="宋体" w:hAnsi="宋体" w:cs="宋体"/>
          <w:spacing w:val="2"/>
          <w:sz w:val="24"/>
          <w:szCs w:val="24"/>
          <w:highlight w:val="none"/>
          <w:lang w:eastAsia="zh-CN"/>
        </w:rPr>
        <w:t>供应商</w:t>
      </w:r>
      <w:r>
        <w:rPr>
          <w:rFonts w:hint="eastAsia" w:ascii="宋体" w:hAnsi="宋体" w:eastAsia="宋体" w:cs="宋体"/>
          <w:spacing w:val="2"/>
          <w:sz w:val="24"/>
          <w:szCs w:val="24"/>
          <w:highlight w:val="none"/>
          <w:lang w:eastAsia="zh-CN"/>
        </w:rPr>
        <w:t>须知前附表。</w:t>
      </w:r>
    </w:p>
    <w:p w14:paraId="3C22BCC9">
      <w:pPr>
        <w:spacing w:before="157" w:line="386" w:lineRule="auto"/>
        <w:ind w:right="569" w:rightChars="271" w:firstLine="488" w:firstLineChars="200"/>
        <w:jc w:val="both"/>
        <w:rPr>
          <w:rFonts w:hint="eastAsia" w:ascii="宋体" w:hAnsi="宋体" w:eastAsia="宋体" w:cs="宋体"/>
          <w:spacing w:val="2"/>
          <w:sz w:val="24"/>
          <w:szCs w:val="24"/>
          <w:highlight w:val="none"/>
          <w:lang w:eastAsia="zh-CN"/>
        </w:rPr>
      </w:pPr>
      <w:r>
        <w:rPr>
          <w:rFonts w:hint="eastAsia" w:ascii="宋体" w:hAnsi="宋体" w:cs="宋体"/>
          <w:spacing w:val="2"/>
          <w:sz w:val="24"/>
          <w:szCs w:val="24"/>
          <w:highlight w:val="none"/>
          <w:lang w:val="en-US" w:eastAsia="zh-CN"/>
        </w:rPr>
        <w:t>18</w:t>
      </w:r>
      <w:r>
        <w:rPr>
          <w:rFonts w:hint="eastAsia" w:ascii="宋体" w:hAnsi="宋体" w:eastAsia="宋体" w:cs="宋体"/>
          <w:spacing w:val="2"/>
          <w:sz w:val="24"/>
          <w:szCs w:val="24"/>
          <w:highlight w:val="none"/>
          <w:lang w:val="en-US" w:eastAsia="zh-CN"/>
        </w:rPr>
        <w:t>.5.2、</w:t>
      </w:r>
      <w:r>
        <w:rPr>
          <w:rFonts w:hint="eastAsia" w:ascii="宋体" w:hAnsi="宋体" w:cs="宋体"/>
          <w:spacing w:val="2"/>
          <w:sz w:val="24"/>
          <w:szCs w:val="24"/>
          <w:highlight w:val="none"/>
          <w:lang w:eastAsia="zh-CN"/>
        </w:rPr>
        <w:t>供应商</w:t>
      </w:r>
      <w:r>
        <w:rPr>
          <w:rFonts w:hint="eastAsia" w:ascii="宋体" w:hAnsi="宋体" w:eastAsia="宋体" w:cs="宋体"/>
          <w:spacing w:val="2"/>
          <w:sz w:val="24"/>
          <w:szCs w:val="24"/>
          <w:highlight w:val="none"/>
          <w:lang w:eastAsia="zh-CN"/>
        </w:rPr>
        <w:t>或其他利害关系人对招标文件、开标和评标结果提出投诉的，应按照</w:t>
      </w:r>
      <w:r>
        <w:rPr>
          <w:rFonts w:hint="eastAsia" w:ascii="宋体" w:hAnsi="宋体" w:cs="宋体"/>
          <w:spacing w:val="2"/>
          <w:sz w:val="24"/>
          <w:szCs w:val="24"/>
          <w:highlight w:val="none"/>
          <w:lang w:eastAsia="zh-CN"/>
        </w:rPr>
        <w:t>供应商</w:t>
      </w:r>
      <w:r>
        <w:rPr>
          <w:rFonts w:hint="eastAsia" w:ascii="宋体" w:hAnsi="宋体" w:eastAsia="宋体" w:cs="宋体"/>
          <w:spacing w:val="2"/>
          <w:sz w:val="24"/>
          <w:szCs w:val="24"/>
          <w:highlight w:val="none"/>
          <w:lang w:eastAsia="zh-CN"/>
        </w:rPr>
        <w:t>须知规定先向招标人提出异议。</w:t>
      </w:r>
    </w:p>
    <w:p w14:paraId="683A91E3">
      <w:pPr>
        <w:spacing w:before="157" w:line="386" w:lineRule="auto"/>
        <w:ind w:right="826" w:firstLine="490" w:firstLineChars="200"/>
        <w:jc w:val="both"/>
        <w:rPr>
          <w:rFonts w:hint="eastAsia" w:ascii="宋体" w:hAnsi="宋体" w:eastAsia="宋体" w:cs="宋体"/>
          <w:b/>
          <w:bCs/>
          <w:spacing w:val="2"/>
          <w:sz w:val="24"/>
          <w:szCs w:val="24"/>
          <w:highlight w:val="none"/>
          <w:lang w:eastAsia="zh-CN"/>
        </w:rPr>
      </w:pPr>
      <w:r>
        <w:rPr>
          <w:rFonts w:hint="eastAsia" w:ascii="宋体" w:hAnsi="宋体" w:cs="宋体"/>
          <w:b/>
          <w:bCs/>
          <w:spacing w:val="2"/>
          <w:sz w:val="24"/>
          <w:szCs w:val="24"/>
          <w:highlight w:val="none"/>
          <w:lang w:val="en-US" w:eastAsia="zh-CN"/>
        </w:rPr>
        <w:t>十九</w:t>
      </w:r>
      <w:r>
        <w:rPr>
          <w:rFonts w:hint="eastAsia" w:ascii="宋体" w:hAnsi="宋体" w:eastAsia="宋体" w:cs="宋体"/>
          <w:b/>
          <w:bCs/>
          <w:spacing w:val="2"/>
          <w:sz w:val="24"/>
          <w:szCs w:val="24"/>
          <w:highlight w:val="none"/>
          <w:lang w:val="en-US" w:eastAsia="zh-CN"/>
        </w:rPr>
        <w:t>、</w:t>
      </w:r>
      <w:r>
        <w:rPr>
          <w:rFonts w:hint="eastAsia" w:ascii="宋体" w:hAnsi="宋体" w:eastAsia="宋体" w:cs="宋体"/>
          <w:b/>
          <w:bCs/>
          <w:spacing w:val="2"/>
          <w:sz w:val="24"/>
          <w:szCs w:val="24"/>
          <w:highlight w:val="none"/>
          <w:lang w:eastAsia="zh-CN"/>
        </w:rPr>
        <w:t>需要补充的其他内容</w:t>
      </w:r>
    </w:p>
    <w:p w14:paraId="57D1E039">
      <w:pPr>
        <w:spacing w:before="157" w:line="386" w:lineRule="auto"/>
        <w:ind w:right="826" w:firstLine="488" w:firstLineChars="200"/>
        <w:jc w:val="both"/>
        <w:rPr>
          <w:rFonts w:hint="eastAsia" w:ascii="宋体" w:hAnsi="宋体" w:eastAsia="宋体" w:cs="宋体"/>
          <w:spacing w:val="2"/>
          <w:sz w:val="24"/>
          <w:szCs w:val="24"/>
          <w:highlight w:val="none"/>
          <w:lang w:eastAsia="zh-CN"/>
        </w:rPr>
      </w:pPr>
      <w:r>
        <w:rPr>
          <w:rFonts w:hint="eastAsia" w:ascii="宋体" w:hAnsi="宋体" w:cs="宋体"/>
          <w:spacing w:val="2"/>
          <w:sz w:val="24"/>
          <w:szCs w:val="24"/>
          <w:highlight w:val="none"/>
          <w:lang w:val="en-US" w:eastAsia="zh-CN"/>
        </w:rPr>
        <w:t>19</w:t>
      </w: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lang w:eastAsia="zh-CN"/>
        </w:rPr>
        <w:t>自</w:t>
      </w:r>
      <w:r>
        <w:rPr>
          <w:rFonts w:hint="eastAsia" w:ascii="宋体" w:hAnsi="宋体" w:eastAsia="宋体" w:cs="宋体"/>
          <w:spacing w:val="2"/>
          <w:sz w:val="24"/>
          <w:szCs w:val="24"/>
          <w:highlight w:val="none"/>
          <w:lang w:val="en-US" w:eastAsia="zh-CN"/>
        </w:rPr>
        <w:t>获取</w:t>
      </w:r>
      <w:r>
        <w:rPr>
          <w:rFonts w:hint="eastAsia" w:ascii="宋体" w:hAnsi="宋体" w:eastAsia="宋体" w:cs="宋体"/>
          <w:spacing w:val="2"/>
          <w:sz w:val="24"/>
          <w:szCs w:val="24"/>
          <w:highlight w:val="none"/>
          <w:lang w:eastAsia="zh-CN"/>
        </w:rPr>
        <w:t>招标文件之日起，</w:t>
      </w:r>
      <w:r>
        <w:rPr>
          <w:rFonts w:hint="eastAsia" w:ascii="宋体" w:hAnsi="宋体" w:cs="宋体"/>
          <w:spacing w:val="2"/>
          <w:sz w:val="24"/>
          <w:szCs w:val="24"/>
          <w:highlight w:val="none"/>
          <w:lang w:eastAsia="zh-CN"/>
        </w:rPr>
        <w:t>供应商</w:t>
      </w:r>
      <w:r>
        <w:rPr>
          <w:rFonts w:hint="eastAsia" w:ascii="宋体" w:hAnsi="宋体" w:eastAsia="宋体" w:cs="宋体"/>
          <w:spacing w:val="2"/>
          <w:sz w:val="24"/>
          <w:szCs w:val="24"/>
          <w:highlight w:val="none"/>
          <w:lang w:eastAsia="zh-CN"/>
        </w:rPr>
        <w:t>应保证其提供的联系方式（电话、传真、电子邮件）一直有效，以便及时收到招标人发出的函件（招标文件的澄清、修改等），并应及时向招标人反馈信息，否则招标人不承担由此引起的一切后果。</w:t>
      </w:r>
    </w:p>
    <w:p w14:paraId="56C31F2A">
      <w:pPr>
        <w:spacing w:before="157" w:line="386" w:lineRule="auto"/>
        <w:ind w:right="826" w:firstLine="488" w:firstLineChars="200"/>
        <w:jc w:val="both"/>
        <w:rPr>
          <w:rFonts w:hint="eastAsia" w:ascii="宋体" w:hAnsi="宋体" w:eastAsia="宋体" w:cs="宋体"/>
          <w:spacing w:val="2"/>
          <w:sz w:val="24"/>
          <w:szCs w:val="24"/>
          <w:highlight w:val="none"/>
          <w:lang w:eastAsia="zh-CN"/>
        </w:rPr>
        <w:sectPr>
          <w:pgSz w:w="11850" w:h="16783"/>
          <w:pgMar w:top="1440" w:right="1080" w:bottom="1440" w:left="1080" w:header="0" w:footer="1171" w:gutter="0"/>
          <w:pgNumType w:fmt="decimal"/>
          <w:cols w:space="720" w:num="1"/>
        </w:sectPr>
      </w:pPr>
      <w:r>
        <w:rPr>
          <w:rFonts w:hint="eastAsia" w:ascii="宋体" w:hAnsi="宋体" w:eastAsia="宋体" w:cs="宋体"/>
          <w:spacing w:val="2"/>
          <w:sz w:val="24"/>
          <w:szCs w:val="24"/>
          <w:highlight w:val="none"/>
          <w:lang w:eastAsia="zh-CN"/>
        </w:rPr>
        <w:t>需要补充的其他内容：见</w:t>
      </w:r>
      <w:r>
        <w:rPr>
          <w:rFonts w:hint="eastAsia" w:ascii="宋体" w:hAnsi="宋体" w:cs="宋体"/>
          <w:spacing w:val="2"/>
          <w:sz w:val="24"/>
          <w:szCs w:val="24"/>
          <w:highlight w:val="none"/>
          <w:lang w:eastAsia="zh-CN"/>
        </w:rPr>
        <w:t>供应商</w:t>
      </w:r>
      <w:r>
        <w:rPr>
          <w:rFonts w:hint="eastAsia" w:ascii="宋体" w:hAnsi="宋体" w:eastAsia="宋体" w:cs="宋体"/>
          <w:spacing w:val="2"/>
          <w:sz w:val="24"/>
          <w:szCs w:val="24"/>
          <w:highlight w:val="none"/>
          <w:lang w:eastAsia="zh-CN"/>
        </w:rPr>
        <w:t>须知前附表。</w:t>
      </w:r>
    </w:p>
    <w:p w14:paraId="461A9CB9">
      <w:pPr>
        <w:bidi w:val="0"/>
        <w:jc w:val="center"/>
        <w:rPr>
          <w:rFonts w:hint="eastAsia"/>
          <w:b/>
          <w:bCs/>
          <w:sz w:val="28"/>
          <w:szCs w:val="36"/>
          <w:highlight w:val="none"/>
        </w:rPr>
      </w:pPr>
      <w:r>
        <w:rPr>
          <w:rFonts w:hint="eastAsia"/>
          <w:b/>
          <w:bCs/>
          <w:sz w:val="28"/>
          <w:szCs w:val="36"/>
          <w:highlight w:val="none"/>
        </w:rPr>
        <w:t>第三章</w:t>
      </w:r>
      <w:r>
        <w:rPr>
          <w:rFonts w:hint="eastAsia"/>
          <w:b/>
          <w:bCs/>
          <w:sz w:val="28"/>
          <w:szCs w:val="36"/>
          <w:highlight w:val="none"/>
          <w:lang w:val="en-US" w:eastAsia="zh-CN"/>
        </w:rPr>
        <w:t xml:space="preserve">  </w:t>
      </w:r>
      <w:r>
        <w:rPr>
          <w:rFonts w:hint="eastAsia"/>
          <w:b/>
          <w:bCs/>
          <w:sz w:val="28"/>
          <w:szCs w:val="36"/>
          <w:highlight w:val="none"/>
        </w:rPr>
        <w:t>评</w:t>
      </w:r>
      <w:r>
        <w:rPr>
          <w:rFonts w:hint="eastAsia"/>
          <w:b/>
          <w:bCs/>
          <w:sz w:val="28"/>
          <w:szCs w:val="36"/>
          <w:highlight w:val="none"/>
          <w:lang w:eastAsia="zh-CN"/>
        </w:rPr>
        <w:t>标</w:t>
      </w:r>
      <w:r>
        <w:rPr>
          <w:rFonts w:hint="eastAsia"/>
          <w:b/>
          <w:bCs/>
          <w:sz w:val="28"/>
          <w:szCs w:val="36"/>
          <w:highlight w:val="none"/>
        </w:rPr>
        <w:t>办法（综合评</w:t>
      </w:r>
      <w:r>
        <w:rPr>
          <w:rFonts w:hint="eastAsia"/>
          <w:b/>
          <w:bCs/>
          <w:sz w:val="28"/>
          <w:szCs w:val="36"/>
          <w:highlight w:val="none"/>
          <w:lang w:val="en-US" w:eastAsia="zh-CN"/>
        </w:rPr>
        <w:t>分</w:t>
      </w:r>
      <w:r>
        <w:rPr>
          <w:rFonts w:hint="eastAsia"/>
          <w:b/>
          <w:bCs/>
          <w:sz w:val="28"/>
          <w:szCs w:val="36"/>
          <w:highlight w:val="none"/>
        </w:rPr>
        <w:t>法）</w:t>
      </w:r>
      <w:bookmarkEnd w:id="4"/>
    </w:p>
    <w:p w14:paraId="4DD2EAC1">
      <w:pPr>
        <w:pStyle w:val="10"/>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以下评审项目要求上传主体</w:t>
      </w:r>
      <w:r>
        <w:rPr>
          <w:rFonts w:hint="eastAsia" w:cs="宋体"/>
          <w:b/>
          <w:kern w:val="0"/>
          <w:sz w:val="24"/>
          <w:szCs w:val="24"/>
          <w:highlight w:val="none"/>
          <w:lang w:val="en-US" w:eastAsia="zh-CN" w:bidi="ar-SA"/>
        </w:rPr>
        <w:t>诚信</w:t>
      </w:r>
      <w:r>
        <w:rPr>
          <w:rFonts w:hint="eastAsia" w:ascii="宋体" w:hAnsi="宋体" w:eastAsia="宋体" w:cs="宋体"/>
          <w:b/>
          <w:kern w:val="0"/>
          <w:sz w:val="24"/>
          <w:szCs w:val="24"/>
          <w:highlight w:val="none"/>
          <w:lang w:val="en-US" w:eastAsia="zh-CN" w:bidi="ar-SA"/>
        </w:rPr>
        <w:t>库的必须上传，未作要求的不</w:t>
      </w:r>
      <w:r>
        <w:rPr>
          <w:rFonts w:hint="eastAsia" w:cs="宋体"/>
          <w:b/>
          <w:kern w:val="0"/>
          <w:sz w:val="24"/>
          <w:szCs w:val="24"/>
          <w:highlight w:val="none"/>
          <w:lang w:val="en-US" w:eastAsia="zh-CN" w:bidi="ar-SA"/>
        </w:rPr>
        <w:t>须</w:t>
      </w:r>
      <w:r>
        <w:rPr>
          <w:rFonts w:hint="eastAsia" w:ascii="宋体" w:hAnsi="宋体" w:eastAsia="宋体" w:cs="宋体"/>
          <w:b/>
          <w:kern w:val="0"/>
          <w:sz w:val="24"/>
          <w:szCs w:val="24"/>
          <w:highlight w:val="none"/>
          <w:lang w:val="en-US" w:eastAsia="zh-CN" w:bidi="ar-SA"/>
        </w:rPr>
        <w:t>上传</w:t>
      </w:r>
      <w:r>
        <w:rPr>
          <w:rFonts w:hint="eastAsia" w:cs="宋体"/>
          <w:b/>
          <w:kern w:val="0"/>
          <w:sz w:val="24"/>
          <w:szCs w:val="24"/>
          <w:highlight w:val="none"/>
          <w:lang w:val="en-US" w:eastAsia="zh-CN" w:bidi="ar-SA"/>
        </w:rPr>
        <w:t>。</w:t>
      </w:r>
    </w:p>
    <w:tbl>
      <w:tblPr>
        <w:tblStyle w:val="28"/>
        <w:tblpPr w:leftFromText="180" w:rightFromText="180" w:vertAnchor="text" w:horzAnchor="page" w:tblpX="1031" w:tblpY="405"/>
        <w:tblOverlap w:val="never"/>
        <w:tblW w:w="1031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7"/>
        <w:gridCol w:w="842"/>
        <w:gridCol w:w="3550"/>
        <w:gridCol w:w="4893"/>
      </w:tblGrid>
      <w:tr w14:paraId="30AA7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trPr>
        <w:tc>
          <w:tcPr>
            <w:tcW w:w="1869" w:type="dxa"/>
            <w:gridSpan w:val="2"/>
            <w:tcBorders>
              <w:top w:val="single" w:color="auto" w:sz="12" w:space="0"/>
              <w:bottom w:val="single" w:color="auto" w:sz="6" w:space="0"/>
            </w:tcBorders>
            <w:noWrap w:val="0"/>
            <w:vAlign w:val="center"/>
          </w:tcPr>
          <w:p w14:paraId="1CF7E541">
            <w:pPr>
              <w:autoSpaceDE w:val="0"/>
              <w:autoSpaceDN w:val="0"/>
              <w:adjustRightInd w:val="0"/>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条款号</w:t>
            </w:r>
          </w:p>
        </w:tc>
        <w:tc>
          <w:tcPr>
            <w:tcW w:w="3550" w:type="dxa"/>
            <w:tcBorders>
              <w:top w:val="single" w:color="auto" w:sz="12" w:space="0"/>
              <w:bottom w:val="single" w:color="auto" w:sz="6" w:space="0"/>
            </w:tcBorders>
            <w:noWrap w:val="0"/>
            <w:vAlign w:val="center"/>
          </w:tcPr>
          <w:p w14:paraId="3A5C74C6">
            <w:pPr>
              <w:autoSpaceDE w:val="0"/>
              <w:autoSpaceDN w:val="0"/>
              <w:adjustRightInd w:val="0"/>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4893" w:type="dxa"/>
            <w:tcBorders>
              <w:top w:val="single" w:color="auto" w:sz="12" w:space="0"/>
              <w:bottom w:val="single" w:color="auto" w:sz="6" w:space="0"/>
            </w:tcBorders>
            <w:noWrap w:val="0"/>
            <w:vAlign w:val="center"/>
          </w:tcPr>
          <w:p w14:paraId="293EA61E">
            <w:pPr>
              <w:autoSpaceDE w:val="0"/>
              <w:autoSpaceDN w:val="0"/>
              <w:adjustRightInd w:val="0"/>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7735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027" w:type="dxa"/>
            <w:vMerge w:val="restart"/>
            <w:tcBorders>
              <w:top w:val="single" w:color="auto" w:sz="6" w:space="0"/>
            </w:tcBorders>
            <w:noWrap w:val="0"/>
            <w:vAlign w:val="center"/>
          </w:tcPr>
          <w:p w14:paraId="02AD4BFA">
            <w:pPr>
              <w:autoSpaceDE w:val="0"/>
              <w:autoSpaceDN w:val="0"/>
              <w:adjustRightInd w:val="0"/>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2.1.1</w:t>
            </w:r>
          </w:p>
        </w:tc>
        <w:tc>
          <w:tcPr>
            <w:tcW w:w="842" w:type="dxa"/>
            <w:vMerge w:val="restart"/>
            <w:tcBorders>
              <w:top w:val="single" w:color="auto" w:sz="6" w:space="0"/>
            </w:tcBorders>
            <w:noWrap w:val="0"/>
            <w:vAlign w:val="center"/>
          </w:tcPr>
          <w:p w14:paraId="15AB9AA2">
            <w:pPr>
              <w:autoSpaceDE w:val="0"/>
              <w:autoSpaceDN w:val="0"/>
              <w:adjustRightInd w:val="0"/>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形式评审标准</w:t>
            </w:r>
          </w:p>
        </w:tc>
        <w:tc>
          <w:tcPr>
            <w:tcW w:w="3550" w:type="dxa"/>
            <w:tcBorders>
              <w:top w:val="single" w:color="auto" w:sz="6" w:space="0"/>
              <w:bottom w:val="single" w:color="auto" w:sz="6" w:space="0"/>
            </w:tcBorders>
            <w:noWrap w:val="0"/>
            <w:vAlign w:val="center"/>
          </w:tcPr>
          <w:p w14:paraId="7ECE9918">
            <w:pPr>
              <w:autoSpaceDE w:val="0"/>
              <w:autoSpaceDN w:val="0"/>
              <w:adjustRightIn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供应商名称</w:t>
            </w:r>
          </w:p>
        </w:tc>
        <w:tc>
          <w:tcPr>
            <w:tcW w:w="4893" w:type="dxa"/>
            <w:tcBorders>
              <w:top w:val="single" w:color="auto" w:sz="6" w:space="0"/>
              <w:bottom w:val="single" w:color="auto" w:sz="6" w:space="0"/>
            </w:tcBorders>
            <w:noWrap w:val="0"/>
            <w:vAlign w:val="center"/>
          </w:tcPr>
          <w:p w14:paraId="402AC588">
            <w:pPr>
              <w:autoSpaceDE w:val="0"/>
              <w:autoSpaceDN w:val="0"/>
              <w:adjustRightIn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与营业执照一致 </w:t>
            </w:r>
          </w:p>
        </w:tc>
      </w:tr>
      <w:tr w14:paraId="470F0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1027" w:type="dxa"/>
            <w:vMerge w:val="continue"/>
            <w:noWrap w:val="0"/>
            <w:vAlign w:val="center"/>
          </w:tcPr>
          <w:p w14:paraId="4C149249">
            <w:pPr>
              <w:autoSpaceDE w:val="0"/>
              <w:autoSpaceDN w:val="0"/>
              <w:adjustRightInd w:val="0"/>
              <w:spacing w:line="400" w:lineRule="exact"/>
              <w:jc w:val="center"/>
              <w:rPr>
                <w:rFonts w:hint="eastAsia" w:ascii="宋体" w:hAnsi="宋体" w:eastAsia="宋体" w:cs="宋体"/>
                <w:color w:val="auto"/>
                <w:kern w:val="0"/>
                <w:sz w:val="24"/>
                <w:szCs w:val="24"/>
                <w:highlight w:val="none"/>
              </w:rPr>
            </w:pPr>
          </w:p>
        </w:tc>
        <w:tc>
          <w:tcPr>
            <w:tcW w:w="842" w:type="dxa"/>
            <w:vMerge w:val="continue"/>
            <w:noWrap w:val="0"/>
            <w:vAlign w:val="center"/>
          </w:tcPr>
          <w:p w14:paraId="009FB0C7">
            <w:pPr>
              <w:autoSpaceDE w:val="0"/>
              <w:autoSpaceDN w:val="0"/>
              <w:adjustRightInd w:val="0"/>
              <w:snapToGrid w:val="0"/>
              <w:jc w:val="center"/>
              <w:rPr>
                <w:rFonts w:hint="eastAsia" w:ascii="宋体" w:hAnsi="宋体" w:eastAsia="宋体" w:cs="宋体"/>
                <w:color w:val="auto"/>
                <w:kern w:val="0"/>
                <w:sz w:val="24"/>
                <w:szCs w:val="24"/>
                <w:highlight w:val="none"/>
                <w:lang w:val="en-US" w:eastAsia="zh-CN"/>
              </w:rPr>
            </w:pPr>
          </w:p>
        </w:tc>
        <w:tc>
          <w:tcPr>
            <w:tcW w:w="3550" w:type="dxa"/>
            <w:tcBorders>
              <w:top w:val="single" w:color="auto" w:sz="6" w:space="0"/>
              <w:bottom w:val="single" w:color="auto" w:sz="6" w:space="0"/>
            </w:tcBorders>
            <w:noWrap w:val="0"/>
            <w:vAlign w:val="center"/>
          </w:tcPr>
          <w:p w14:paraId="5A365870">
            <w:pPr>
              <w:autoSpaceDE w:val="0"/>
              <w:autoSpaceDN w:val="0"/>
              <w:adjustRightIn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签字盖章</w:t>
            </w:r>
          </w:p>
        </w:tc>
        <w:tc>
          <w:tcPr>
            <w:tcW w:w="4893" w:type="dxa"/>
            <w:tcBorders>
              <w:top w:val="single" w:color="auto" w:sz="6" w:space="0"/>
              <w:bottom w:val="single" w:color="auto" w:sz="6" w:space="0"/>
            </w:tcBorders>
            <w:noWrap w:val="0"/>
            <w:vAlign w:val="center"/>
          </w:tcPr>
          <w:p w14:paraId="43E3A3BA">
            <w:pPr>
              <w:autoSpaceDE w:val="0"/>
              <w:autoSpaceDN w:val="0"/>
              <w:adjustRightInd w:val="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符合招标文件要求</w:t>
            </w:r>
            <w:r>
              <w:rPr>
                <w:rFonts w:hint="eastAsia" w:ascii="宋体" w:hAnsi="宋体" w:eastAsia="宋体" w:cs="宋体"/>
                <w:color w:val="auto"/>
                <w:kern w:val="0"/>
                <w:sz w:val="24"/>
                <w:szCs w:val="24"/>
                <w:highlight w:val="none"/>
                <w:lang w:val="en-US" w:eastAsia="zh-CN"/>
              </w:rPr>
              <w:t xml:space="preserve"> </w:t>
            </w:r>
          </w:p>
        </w:tc>
      </w:tr>
      <w:tr w14:paraId="770F3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027" w:type="dxa"/>
            <w:vMerge w:val="continue"/>
            <w:noWrap w:val="0"/>
            <w:vAlign w:val="center"/>
          </w:tcPr>
          <w:p w14:paraId="24B4F842">
            <w:pPr>
              <w:autoSpaceDE w:val="0"/>
              <w:autoSpaceDN w:val="0"/>
              <w:adjustRightInd w:val="0"/>
              <w:spacing w:line="400" w:lineRule="exact"/>
              <w:jc w:val="center"/>
              <w:rPr>
                <w:rFonts w:hint="eastAsia" w:ascii="宋体" w:hAnsi="宋体" w:eastAsia="宋体" w:cs="宋体"/>
                <w:color w:val="auto"/>
                <w:kern w:val="0"/>
                <w:sz w:val="24"/>
                <w:szCs w:val="24"/>
                <w:highlight w:val="none"/>
              </w:rPr>
            </w:pPr>
          </w:p>
        </w:tc>
        <w:tc>
          <w:tcPr>
            <w:tcW w:w="842" w:type="dxa"/>
            <w:vMerge w:val="continue"/>
            <w:noWrap w:val="0"/>
            <w:vAlign w:val="center"/>
          </w:tcPr>
          <w:p w14:paraId="2FA8F82C">
            <w:pPr>
              <w:autoSpaceDE w:val="0"/>
              <w:autoSpaceDN w:val="0"/>
              <w:adjustRightInd w:val="0"/>
              <w:snapToGrid w:val="0"/>
              <w:jc w:val="center"/>
              <w:rPr>
                <w:rFonts w:hint="eastAsia" w:ascii="宋体" w:hAnsi="宋体" w:eastAsia="宋体" w:cs="宋体"/>
                <w:color w:val="auto"/>
                <w:kern w:val="0"/>
                <w:sz w:val="24"/>
                <w:szCs w:val="24"/>
                <w:highlight w:val="none"/>
                <w:lang w:val="en-US" w:eastAsia="zh-CN"/>
              </w:rPr>
            </w:pPr>
          </w:p>
        </w:tc>
        <w:tc>
          <w:tcPr>
            <w:tcW w:w="3550" w:type="dxa"/>
            <w:tcBorders>
              <w:top w:val="single" w:color="auto" w:sz="6" w:space="0"/>
              <w:bottom w:val="single" w:color="auto" w:sz="6" w:space="0"/>
            </w:tcBorders>
            <w:noWrap w:val="0"/>
            <w:vAlign w:val="center"/>
          </w:tcPr>
          <w:p w14:paraId="13AC9F4C">
            <w:pPr>
              <w:autoSpaceDE w:val="0"/>
              <w:autoSpaceDN w:val="0"/>
              <w:adjustRightIn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投标文件格式</w:t>
            </w:r>
          </w:p>
        </w:tc>
        <w:tc>
          <w:tcPr>
            <w:tcW w:w="4893" w:type="dxa"/>
            <w:tcBorders>
              <w:top w:val="single" w:color="auto" w:sz="6" w:space="0"/>
              <w:bottom w:val="single" w:color="auto" w:sz="6" w:space="0"/>
            </w:tcBorders>
            <w:noWrap w:val="0"/>
            <w:vAlign w:val="center"/>
          </w:tcPr>
          <w:p w14:paraId="56F55C27">
            <w:pPr>
              <w:autoSpaceDE w:val="0"/>
              <w:autoSpaceDN w:val="0"/>
              <w:adjustRightIn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符合第六章“投标文件格式”的要求</w:t>
            </w:r>
          </w:p>
        </w:tc>
      </w:tr>
      <w:tr w14:paraId="492CD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027" w:type="dxa"/>
            <w:vMerge w:val="continue"/>
            <w:noWrap w:val="0"/>
            <w:vAlign w:val="center"/>
          </w:tcPr>
          <w:p w14:paraId="2C6BEEED">
            <w:pPr>
              <w:autoSpaceDE w:val="0"/>
              <w:autoSpaceDN w:val="0"/>
              <w:adjustRightInd w:val="0"/>
              <w:spacing w:line="400" w:lineRule="exact"/>
              <w:jc w:val="center"/>
              <w:rPr>
                <w:rFonts w:hint="eastAsia" w:ascii="宋体" w:hAnsi="宋体" w:eastAsia="宋体" w:cs="宋体"/>
                <w:color w:val="auto"/>
                <w:kern w:val="0"/>
                <w:sz w:val="24"/>
                <w:szCs w:val="24"/>
                <w:highlight w:val="none"/>
              </w:rPr>
            </w:pPr>
          </w:p>
        </w:tc>
        <w:tc>
          <w:tcPr>
            <w:tcW w:w="842" w:type="dxa"/>
            <w:vMerge w:val="continue"/>
            <w:noWrap w:val="0"/>
            <w:vAlign w:val="center"/>
          </w:tcPr>
          <w:p w14:paraId="375D7001">
            <w:pPr>
              <w:autoSpaceDE w:val="0"/>
              <w:autoSpaceDN w:val="0"/>
              <w:adjustRightInd w:val="0"/>
              <w:snapToGrid w:val="0"/>
              <w:jc w:val="center"/>
              <w:rPr>
                <w:rFonts w:hint="eastAsia" w:ascii="宋体" w:hAnsi="宋体" w:eastAsia="宋体" w:cs="宋体"/>
                <w:color w:val="auto"/>
                <w:kern w:val="0"/>
                <w:sz w:val="24"/>
                <w:szCs w:val="24"/>
                <w:highlight w:val="none"/>
                <w:lang w:val="en-US" w:eastAsia="zh-CN"/>
              </w:rPr>
            </w:pPr>
          </w:p>
        </w:tc>
        <w:tc>
          <w:tcPr>
            <w:tcW w:w="3550" w:type="dxa"/>
            <w:tcBorders>
              <w:top w:val="single" w:color="auto" w:sz="6" w:space="0"/>
              <w:bottom w:val="single" w:color="auto" w:sz="6" w:space="0"/>
            </w:tcBorders>
            <w:noWrap w:val="0"/>
            <w:vAlign w:val="center"/>
          </w:tcPr>
          <w:p w14:paraId="04F3AB6A">
            <w:pPr>
              <w:autoSpaceDE w:val="0"/>
              <w:autoSpaceDN w:val="0"/>
              <w:adjustRightInd w:val="0"/>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其他</w:t>
            </w:r>
          </w:p>
        </w:tc>
        <w:tc>
          <w:tcPr>
            <w:tcW w:w="4893" w:type="dxa"/>
            <w:tcBorders>
              <w:top w:val="single" w:color="auto" w:sz="6" w:space="0"/>
              <w:bottom w:val="single" w:color="auto" w:sz="6" w:space="0"/>
            </w:tcBorders>
            <w:noWrap w:val="0"/>
            <w:vAlign w:val="center"/>
          </w:tcPr>
          <w:p w14:paraId="69E1817F">
            <w:pPr>
              <w:autoSpaceDE w:val="0"/>
              <w:autoSpaceDN w:val="0"/>
              <w:adjustRightInd w:val="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符合招标文件要求</w:t>
            </w:r>
          </w:p>
        </w:tc>
      </w:tr>
      <w:tr w14:paraId="08570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027" w:type="dxa"/>
            <w:vMerge w:val="restart"/>
            <w:tcBorders>
              <w:top w:val="single" w:color="auto" w:sz="6" w:space="0"/>
            </w:tcBorders>
            <w:noWrap w:val="0"/>
            <w:vAlign w:val="center"/>
          </w:tcPr>
          <w:p w14:paraId="319228F3">
            <w:pPr>
              <w:autoSpaceDE w:val="0"/>
              <w:autoSpaceDN w:val="0"/>
              <w:adjustRightInd w:val="0"/>
              <w:spacing w:line="40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w:t>
            </w:r>
            <w:r>
              <w:rPr>
                <w:rFonts w:hint="eastAsia" w:ascii="宋体" w:hAnsi="宋体" w:eastAsia="宋体" w:cs="宋体"/>
                <w:color w:val="auto"/>
                <w:kern w:val="0"/>
                <w:sz w:val="24"/>
                <w:szCs w:val="24"/>
                <w:highlight w:val="none"/>
                <w:lang w:val="en-US" w:eastAsia="zh-CN"/>
              </w:rPr>
              <w:t>2</w:t>
            </w:r>
          </w:p>
        </w:tc>
        <w:tc>
          <w:tcPr>
            <w:tcW w:w="842" w:type="dxa"/>
            <w:vMerge w:val="restart"/>
            <w:tcBorders>
              <w:top w:val="single" w:color="auto" w:sz="6" w:space="0"/>
            </w:tcBorders>
            <w:noWrap w:val="0"/>
            <w:vAlign w:val="center"/>
          </w:tcPr>
          <w:p w14:paraId="41C540BC">
            <w:pPr>
              <w:autoSpaceDE w:val="0"/>
              <w:autoSpaceDN w:val="0"/>
              <w:adjustRightInd w:val="0"/>
              <w:snapToGri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资格评审标准</w:t>
            </w:r>
          </w:p>
        </w:tc>
        <w:tc>
          <w:tcPr>
            <w:tcW w:w="3550" w:type="dxa"/>
            <w:tcBorders>
              <w:top w:val="single" w:color="auto" w:sz="6" w:space="0"/>
              <w:bottom w:val="single" w:color="auto" w:sz="6" w:space="0"/>
            </w:tcBorders>
            <w:noWrap w:val="0"/>
            <w:vAlign w:val="center"/>
          </w:tcPr>
          <w:p w14:paraId="20B239B3">
            <w:pPr>
              <w:autoSpaceDE w:val="0"/>
              <w:autoSpaceDN w:val="0"/>
              <w:adjustRightInd w:val="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提供有效的营业执照</w:t>
            </w:r>
          </w:p>
          <w:p w14:paraId="179965D5">
            <w:pPr>
              <w:pStyle w:val="27"/>
              <w:ind w:left="0" w:leftChars="0" w:firstLine="0" w:firstLineChars="0"/>
              <w:jc w:val="center"/>
              <w:rPr>
                <w:rFonts w:hint="eastAsia"/>
                <w:color w:val="auto"/>
                <w:highlight w:val="none"/>
                <w:lang w:eastAsia="zh-CN"/>
              </w:rPr>
            </w:pPr>
            <w:r>
              <w:rPr>
                <w:rFonts w:hint="eastAsia" w:ascii="宋体" w:hAnsi="宋体" w:eastAsia="宋体" w:cs="宋体"/>
                <w:b/>
                <w:color w:val="auto"/>
                <w:kern w:val="0"/>
                <w:sz w:val="24"/>
                <w:szCs w:val="24"/>
                <w:highlight w:val="none"/>
                <w:lang w:val="en-US" w:eastAsia="zh-CN" w:bidi="ar-SA"/>
              </w:rPr>
              <w:t>（上传主体</w:t>
            </w:r>
            <w:r>
              <w:rPr>
                <w:rFonts w:hint="eastAsia" w:cs="宋体"/>
                <w:b/>
                <w:color w:val="auto"/>
                <w:kern w:val="0"/>
                <w:sz w:val="24"/>
                <w:szCs w:val="24"/>
                <w:highlight w:val="none"/>
                <w:lang w:val="en-US" w:eastAsia="zh-CN" w:bidi="ar-SA"/>
              </w:rPr>
              <w:t>诚信</w:t>
            </w:r>
            <w:r>
              <w:rPr>
                <w:rFonts w:hint="eastAsia" w:ascii="宋体" w:hAnsi="宋体" w:eastAsia="宋体" w:cs="宋体"/>
                <w:b/>
                <w:color w:val="auto"/>
                <w:kern w:val="0"/>
                <w:sz w:val="24"/>
                <w:szCs w:val="24"/>
                <w:highlight w:val="none"/>
                <w:lang w:val="en-US" w:eastAsia="zh-CN" w:bidi="ar-SA"/>
              </w:rPr>
              <w:t>库）</w:t>
            </w:r>
          </w:p>
        </w:tc>
        <w:tc>
          <w:tcPr>
            <w:tcW w:w="4893" w:type="dxa"/>
            <w:tcBorders>
              <w:top w:val="single" w:color="auto" w:sz="6" w:space="0"/>
              <w:bottom w:val="single" w:color="auto" w:sz="6" w:space="0"/>
            </w:tcBorders>
            <w:noWrap w:val="0"/>
            <w:vAlign w:val="center"/>
          </w:tcPr>
          <w:p w14:paraId="0C6ED459">
            <w:pPr>
              <w:autoSpaceDE w:val="0"/>
              <w:autoSpaceDN w:val="0"/>
              <w:adjustRightInd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符合招标</w:t>
            </w:r>
            <w:r>
              <w:rPr>
                <w:rFonts w:hint="eastAsia" w:ascii="宋体" w:hAnsi="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val="en-US" w:eastAsia="zh-CN"/>
              </w:rPr>
              <w:t>要求</w:t>
            </w:r>
          </w:p>
        </w:tc>
      </w:tr>
      <w:tr w14:paraId="7E6EB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027" w:type="dxa"/>
            <w:vMerge w:val="continue"/>
            <w:noWrap w:val="0"/>
            <w:vAlign w:val="center"/>
          </w:tcPr>
          <w:p w14:paraId="215F26E3">
            <w:pPr>
              <w:autoSpaceDE w:val="0"/>
              <w:autoSpaceDN w:val="0"/>
              <w:adjustRightInd w:val="0"/>
              <w:spacing w:line="400" w:lineRule="exact"/>
              <w:jc w:val="center"/>
              <w:rPr>
                <w:rFonts w:hint="eastAsia" w:ascii="宋体" w:hAnsi="宋体" w:eastAsia="宋体" w:cs="宋体"/>
                <w:color w:val="auto"/>
                <w:kern w:val="0"/>
                <w:sz w:val="24"/>
                <w:szCs w:val="24"/>
                <w:highlight w:val="none"/>
              </w:rPr>
            </w:pPr>
          </w:p>
        </w:tc>
        <w:tc>
          <w:tcPr>
            <w:tcW w:w="842" w:type="dxa"/>
            <w:vMerge w:val="continue"/>
            <w:noWrap w:val="0"/>
            <w:vAlign w:val="center"/>
          </w:tcPr>
          <w:p w14:paraId="69B06306">
            <w:pPr>
              <w:autoSpaceDE w:val="0"/>
              <w:autoSpaceDN w:val="0"/>
              <w:adjustRightInd w:val="0"/>
              <w:snapToGrid w:val="0"/>
              <w:jc w:val="center"/>
              <w:rPr>
                <w:rFonts w:hint="eastAsia" w:ascii="宋体" w:hAnsi="宋体" w:eastAsia="宋体" w:cs="宋体"/>
                <w:color w:val="auto"/>
                <w:kern w:val="0"/>
                <w:sz w:val="24"/>
                <w:szCs w:val="24"/>
                <w:highlight w:val="none"/>
                <w:lang w:val="en-US" w:eastAsia="zh-CN"/>
              </w:rPr>
            </w:pPr>
          </w:p>
        </w:tc>
        <w:tc>
          <w:tcPr>
            <w:tcW w:w="3550" w:type="dxa"/>
            <w:tcBorders>
              <w:top w:val="single" w:color="auto" w:sz="6" w:space="0"/>
              <w:bottom w:val="single" w:color="auto" w:sz="6" w:space="0"/>
            </w:tcBorders>
            <w:noWrap w:val="0"/>
            <w:vAlign w:val="center"/>
          </w:tcPr>
          <w:p w14:paraId="1D73CFCD">
            <w:pPr>
              <w:pStyle w:val="27"/>
              <w:ind w:left="0" w:leftChars="0" w:firstLine="0" w:firstLineChars="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法定代表人</w:t>
            </w:r>
            <w:r>
              <w:rPr>
                <w:rFonts w:hint="eastAsia" w:ascii="宋体" w:hAnsi="宋体" w:eastAsia="宋体" w:cs="宋体"/>
                <w:b w:val="0"/>
                <w:bCs w:val="0"/>
                <w:color w:val="auto"/>
                <w:kern w:val="0"/>
                <w:sz w:val="24"/>
                <w:szCs w:val="24"/>
                <w:highlight w:val="none"/>
                <w:lang w:val="en-US" w:eastAsia="zh-CN" w:bidi="ar"/>
              </w:rPr>
              <w:t>身份证明和授权委托书</w:t>
            </w:r>
          </w:p>
          <w:p w14:paraId="4963EC13">
            <w:pPr>
              <w:pStyle w:val="27"/>
              <w:ind w:left="0" w:leftChars="0" w:firstLine="0" w:firstLineChars="0"/>
              <w:jc w:val="center"/>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color w:val="auto"/>
                <w:kern w:val="0"/>
                <w:sz w:val="24"/>
                <w:szCs w:val="24"/>
                <w:highlight w:val="none"/>
                <w:lang w:val="en-US" w:eastAsia="zh-CN" w:bidi="ar-SA"/>
              </w:rPr>
              <w:t>（上传主体</w:t>
            </w:r>
            <w:r>
              <w:rPr>
                <w:rFonts w:hint="eastAsia" w:cs="宋体"/>
                <w:b/>
                <w:color w:val="auto"/>
                <w:kern w:val="0"/>
                <w:sz w:val="24"/>
                <w:szCs w:val="24"/>
                <w:highlight w:val="none"/>
                <w:lang w:val="en-US" w:eastAsia="zh-CN" w:bidi="ar-SA"/>
              </w:rPr>
              <w:t>诚信</w:t>
            </w:r>
            <w:r>
              <w:rPr>
                <w:rFonts w:hint="eastAsia" w:ascii="宋体" w:hAnsi="宋体" w:eastAsia="宋体" w:cs="宋体"/>
                <w:b/>
                <w:color w:val="auto"/>
                <w:kern w:val="0"/>
                <w:sz w:val="24"/>
                <w:szCs w:val="24"/>
                <w:highlight w:val="none"/>
                <w:lang w:val="en-US" w:eastAsia="zh-CN" w:bidi="ar-SA"/>
              </w:rPr>
              <w:t>库）</w:t>
            </w:r>
          </w:p>
        </w:tc>
        <w:tc>
          <w:tcPr>
            <w:tcW w:w="4893" w:type="dxa"/>
            <w:tcBorders>
              <w:top w:val="single" w:color="auto" w:sz="6" w:space="0"/>
              <w:bottom w:val="single" w:color="auto" w:sz="6" w:space="0"/>
            </w:tcBorders>
            <w:noWrap w:val="0"/>
            <w:vAlign w:val="center"/>
          </w:tcPr>
          <w:p w14:paraId="042C83FB">
            <w:pPr>
              <w:autoSpaceDE w:val="0"/>
              <w:autoSpaceDN w:val="0"/>
              <w:adjustRightInd w:val="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符合招标文件要求</w:t>
            </w:r>
          </w:p>
        </w:tc>
      </w:tr>
      <w:tr w14:paraId="0FE3B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027" w:type="dxa"/>
            <w:vMerge w:val="continue"/>
            <w:noWrap w:val="0"/>
            <w:vAlign w:val="center"/>
          </w:tcPr>
          <w:p w14:paraId="5735547B">
            <w:pPr>
              <w:widowControl/>
              <w:jc w:val="left"/>
              <w:rPr>
                <w:rFonts w:hint="eastAsia" w:ascii="宋体" w:hAnsi="宋体" w:eastAsia="宋体" w:cs="宋体"/>
                <w:color w:val="auto"/>
                <w:kern w:val="0"/>
                <w:sz w:val="24"/>
                <w:szCs w:val="24"/>
                <w:highlight w:val="none"/>
              </w:rPr>
            </w:pPr>
          </w:p>
        </w:tc>
        <w:tc>
          <w:tcPr>
            <w:tcW w:w="842" w:type="dxa"/>
            <w:vMerge w:val="continue"/>
            <w:noWrap w:val="0"/>
            <w:vAlign w:val="center"/>
          </w:tcPr>
          <w:p w14:paraId="34C4DF31">
            <w:pPr>
              <w:widowControl/>
              <w:jc w:val="left"/>
              <w:rPr>
                <w:rFonts w:hint="eastAsia" w:ascii="宋体" w:hAnsi="宋体" w:eastAsia="宋体" w:cs="宋体"/>
                <w:color w:val="auto"/>
                <w:kern w:val="0"/>
                <w:sz w:val="24"/>
                <w:szCs w:val="24"/>
                <w:highlight w:val="none"/>
              </w:rPr>
            </w:pPr>
          </w:p>
        </w:tc>
        <w:tc>
          <w:tcPr>
            <w:tcW w:w="3550" w:type="dxa"/>
            <w:tcBorders>
              <w:top w:val="single" w:color="auto" w:sz="6" w:space="0"/>
              <w:bottom w:val="single" w:color="auto" w:sz="6" w:space="0"/>
            </w:tcBorders>
            <w:noWrap w:val="0"/>
            <w:vAlign w:val="center"/>
          </w:tcPr>
          <w:p w14:paraId="27F91D09">
            <w:pPr>
              <w:autoSpaceDE w:val="0"/>
              <w:autoSpaceDN w:val="0"/>
              <w:adjustRightInd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具有良好的商业信誉和健全的财务会计制度</w:t>
            </w:r>
          </w:p>
          <w:p w14:paraId="743BA57D">
            <w:pPr>
              <w:pStyle w:val="27"/>
              <w:ind w:left="0" w:leftChars="0" w:firstLine="0" w:firstLineChars="0"/>
              <w:jc w:val="center"/>
              <w:rPr>
                <w:rFonts w:hint="eastAsia"/>
                <w:color w:val="auto"/>
                <w:highlight w:val="none"/>
                <w:lang w:val="en-US" w:eastAsia="zh-CN"/>
              </w:rPr>
            </w:pPr>
            <w:r>
              <w:rPr>
                <w:rFonts w:hint="eastAsia" w:ascii="宋体" w:hAnsi="宋体" w:eastAsia="宋体" w:cs="宋体"/>
                <w:b/>
                <w:color w:val="auto"/>
                <w:kern w:val="0"/>
                <w:sz w:val="24"/>
                <w:szCs w:val="24"/>
                <w:highlight w:val="none"/>
                <w:lang w:val="en-US" w:eastAsia="zh-CN" w:bidi="ar-SA"/>
              </w:rPr>
              <w:t>（上传主体</w:t>
            </w:r>
            <w:r>
              <w:rPr>
                <w:rFonts w:hint="eastAsia" w:cs="宋体"/>
                <w:b/>
                <w:color w:val="auto"/>
                <w:kern w:val="0"/>
                <w:sz w:val="24"/>
                <w:szCs w:val="24"/>
                <w:highlight w:val="none"/>
                <w:lang w:val="en-US" w:eastAsia="zh-CN" w:bidi="ar-SA"/>
              </w:rPr>
              <w:t>诚信</w:t>
            </w:r>
            <w:r>
              <w:rPr>
                <w:rFonts w:hint="eastAsia" w:ascii="宋体" w:hAnsi="宋体" w:eastAsia="宋体" w:cs="宋体"/>
                <w:b/>
                <w:color w:val="auto"/>
                <w:kern w:val="0"/>
                <w:sz w:val="24"/>
                <w:szCs w:val="24"/>
                <w:highlight w:val="none"/>
                <w:lang w:val="en-US" w:eastAsia="zh-CN" w:bidi="ar-SA"/>
              </w:rPr>
              <w:t>库）</w:t>
            </w:r>
          </w:p>
        </w:tc>
        <w:tc>
          <w:tcPr>
            <w:tcW w:w="4893" w:type="dxa"/>
            <w:tcBorders>
              <w:top w:val="single" w:color="auto" w:sz="6" w:space="0"/>
              <w:bottom w:val="single" w:color="auto" w:sz="6" w:space="0"/>
            </w:tcBorders>
            <w:noWrap w:val="0"/>
            <w:vAlign w:val="center"/>
          </w:tcPr>
          <w:p w14:paraId="620EBA54">
            <w:pPr>
              <w:autoSpaceDE w:val="0"/>
              <w:autoSpaceDN w:val="0"/>
              <w:adjustRightInd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符合招标</w:t>
            </w:r>
            <w:r>
              <w:rPr>
                <w:rFonts w:hint="eastAsia" w:ascii="宋体" w:hAnsi="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val="en-US" w:eastAsia="zh-CN"/>
              </w:rPr>
              <w:t>要求</w:t>
            </w:r>
          </w:p>
        </w:tc>
      </w:tr>
      <w:tr w14:paraId="0AABF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027" w:type="dxa"/>
            <w:vMerge w:val="continue"/>
            <w:noWrap w:val="0"/>
            <w:vAlign w:val="center"/>
          </w:tcPr>
          <w:p w14:paraId="76BD20D4">
            <w:pPr>
              <w:widowControl/>
              <w:jc w:val="left"/>
              <w:rPr>
                <w:rFonts w:hint="eastAsia" w:ascii="宋体" w:hAnsi="宋体" w:eastAsia="宋体" w:cs="宋体"/>
                <w:color w:val="auto"/>
                <w:kern w:val="0"/>
                <w:sz w:val="24"/>
                <w:szCs w:val="24"/>
                <w:highlight w:val="none"/>
              </w:rPr>
            </w:pPr>
          </w:p>
        </w:tc>
        <w:tc>
          <w:tcPr>
            <w:tcW w:w="842" w:type="dxa"/>
            <w:vMerge w:val="continue"/>
            <w:noWrap w:val="0"/>
            <w:vAlign w:val="center"/>
          </w:tcPr>
          <w:p w14:paraId="62055C00">
            <w:pPr>
              <w:widowControl/>
              <w:jc w:val="left"/>
              <w:rPr>
                <w:rFonts w:hint="eastAsia" w:ascii="宋体" w:hAnsi="宋体" w:eastAsia="宋体" w:cs="宋体"/>
                <w:color w:val="auto"/>
                <w:kern w:val="0"/>
                <w:sz w:val="24"/>
                <w:szCs w:val="24"/>
                <w:highlight w:val="none"/>
              </w:rPr>
            </w:pPr>
          </w:p>
        </w:tc>
        <w:tc>
          <w:tcPr>
            <w:tcW w:w="3550" w:type="dxa"/>
            <w:tcBorders>
              <w:top w:val="single" w:color="auto" w:sz="6" w:space="0"/>
              <w:bottom w:val="single" w:color="auto" w:sz="6" w:space="0"/>
            </w:tcBorders>
            <w:noWrap w:val="0"/>
            <w:vAlign w:val="center"/>
          </w:tcPr>
          <w:p w14:paraId="3B8BA78E">
            <w:pPr>
              <w:autoSpaceDE w:val="0"/>
              <w:autoSpaceDN w:val="0"/>
              <w:adjustRightInd w:val="0"/>
              <w:jc w:val="both"/>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2"/>
                <w:sz w:val="24"/>
                <w:szCs w:val="24"/>
                <w:highlight w:val="none"/>
                <w:lang w:val="en-US" w:eastAsia="zh-CN" w:bidi="ar-SA"/>
              </w:rPr>
              <w:t>具有履行合同所必需的设备和专业技术能力</w:t>
            </w:r>
          </w:p>
        </w:tc>
        <w:tc>
          <w:tcPr>
            <w:tcW w:w="4893" w:type="dxa"/>
            <w:tcBorders>
              <w:top w:val="single" w:color="auto" w:sz="6" w:space="0"/>
              <w:bottom w:val="single" w:color="auto" w:sz="6" w:space="0"/>
            </w:tcBorders>
            <w:noWrap w:val="0"/>
            <w:vAlign w:val="center"/>
          </w:tcPr>
          <w:p w14:paraId="23634CFF">
            <w:pPr>
              <w:autoSpaceDE w:val="0"/>
              <w:autoSpaceDN w:val="0"/>
              <w:adjustRightInd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符合招标</w:t>
            </w:r>
            <w:r>
              <w:rPr>
                <w:rFonts w:hint="eastAsia" w:ascii="宋体" w:hAnsi="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val="en-US" w:eastAsia="zh-CN"/>
              </w:rPr>
              <w:t>要求</w:t>
            </w:r>
          </w:p>
        </w:tc>
      </w:tr>
      <w:tr w14:paraId="6D53C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trPr>
        <w:tc>
          <w:tcPr>
            <w:tcW w:w="1027" w:type="dxa"/>
            <w:vMerge w:val="continue"/>
            <w:noWrap w:val="0"/>
            <w:vAlign w:val="center"/>
          </w:tcPr>
          <w:p w14:paraId="0F21DD04">
            <w:pPr>
              <w:widowControl/>
              <w:jc w:val="left"/>
              <w:rPr>
                <w:rFonts w:hint="eastAsia" w:ascii="宋体" w:hAnsi="宋体" w:eastAsia="宋体" w:cs="宋体"/>
                <w:color w:val="auto"/>
                <w:kern w:val="0"/>
                <w:sz w:val="24"/>
                <w:szCs w:val="24"/>
                <w:highlight w:val="none"/>
              </w:rPr>
            </w:pPr>
          </w:p>
        </w:tc>
        <w:tc>
          <w:tcPr>
            <w:tcW w:w="842" w:type="dxa"/>
            <w:vMerge w:val="continue"/>
            <w:noWrap w:val="0"/>
            <w:vAlign w:val="center"/>
          </w:tcPr>
          <w:p w14:paraId="0FA97076">
            <w:pPr>
              <w:widowControl/>
              <w:jc w:val="left"/>
              <w:rPr>
                <w:rFonts w:hint="eastAsia" w:ascii="宋体" w:hAnsi="宋体" w:eastAsia="宋体" w:cs="宋体"/>
                <w:color w:val="auto"/>
                <w:kern w:val="0"/>
                <w:sz w:val="24"/>
                <w:szCs w:val="24"/>
                <w:highlight w:val="none"/>
              </w:rPr>
            </w:pPr>
          </w:p>
        </w:tc>
        <w:tc>
          <w:tcPr>
            <w:tcW w:w="3550" w:type="dxa"/>
            <w:tcBorders>
              <w:top w:val="single" w:color="auto" w:sz="6" w:space="0"/>
              <w:bottom w:val="single" w:color="auto" w:sz="6" w:space="0"/>
            </w:tcBorders>
            <w:noWrap w:val="0"/>
            <w:vAlign w:val="center"/>
          </w:tcPr>
          <w:p w14:paraId="762F8E9D">
            <w:pPr>
              <w:autoSpaceDE w:val="0"/>
              <w:autoSpaceDN w:val="0"/>
              <w:adjustRightInd w:val="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具有依法缴纳税收和社会保障资金的良好记录</w:t>
            </w:r>
          </w:p>
          <w:p w14:paraId="3ED80C00">
            <w:pPr>
              <w:pStyle w:val="27"/>
              <w:ind w:left="0" w:leftChars="0" w:firstLine="0" w:firstLineChars="0"/>
              <w:jc w:val="center"/>
              <w:rPr>
                <w:rFonts w:hint="eastAsia"/>
                <w:color w:val="auto"/>
                <w:highlight w:val="none"/>
              </w:rPr>
            </w:pPr>
            <w:r>
              <w:rPr>
                <w:rFonts w:hint="eastAsia" w:ascii="宋体" w:hAnsi="宋体" w:eastAsia="宋体" w:cs="宋体"/>
                <w:b/>
                <w:color w:val="auto"/>
                <w:kern w:val="0"/>
                <w:sz w:val="24"/>
                <w:szCs w:val="24"/>
                <w:highlight w:val="none"/>
                <w:lang w:val="en-US" w:eastAsia="zh-CN" w:bidi="ar-SA"/>
              </w:rPr>
              <w:t>（上传主体</w:t>
            </w:r>
            <w:r>
              <w:rPr>
                <w:rFonts w:hint="eastAsia" w:cs="宋体"/>
                <w:b/>
                <w:color w:val="auto"/>
                <w:kern w:val="0"/>
                <w:sz w:val="24"/>
                <w:szCs w:val="24"/>
                <w:highlight w:val="none"/>
                <w:lang w:val="en-US" w:eastAsia="zh-CN" w:bidi="ar-SA"/>
              </w:rPr>
              <w:t>诚信</w:t>
            </w:r>
            <w:r>
              <w:rPr>
                <w:rFonts w:hint="eastAsia" w:ascii="宋体" w:hAnsi="宋体" w:eastAsia="宋体" w:cs="宋体"/>
                <w:b/>
                <w:color w:val="auto"/>
                <w:kern w:val="0"/>
                <w:sz w:val="24"/>
                <w:szCs w:val="24"/>
                <w:highlight w:val="none"/>
                <w:lang w:val="en-US" w:eastAsia="zh-CN" w:bidi="ar-SA"/>
              </w:rPr>
              <w:t>库）</w:t>
            </w:r>
          </w:p>
        </w:tc>
        <w:tc>
          <w:tcPr>
            <w:tcW w:w="4893" w:type="dxa"/>
            <w:tcBorders>
              <w:top w:val="single" w:color="auto" w:sz="6" w:space="0"/>
              <w:bottom w:val="single" w:color="auto" w:sz="6" w:space="0"/>
            </w:tcBorders>
            <w:noWrap w:val="0"/>
            <w:vAlign w:val="center"/>
          </w:tcPr>
          <w:p w14:paraId="3AA7D33A">
            <w:pPr>
              <w:autoSpaceDE w:val="0"/>
              <w:autoSpaceDN w:val="0"/>
              <w:adjustRightInd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符合招标</w:t>
            </w:r>
            <w:r>
              <w:rPr>
                <w:rFonts w:hint="eastAsia" w:ascii="宋体" w:hAnsi="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val="en-US" w:eastAsia="zh-CN"/>
              </w:rPr>
              <w:t>要求</w:t>
            </w:r>
          </w:p>
        </w:tc>
      </w:tr>
      <w:tr w14:paraId="1D47F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027" w:type="dxa"/>
            <w:vMerge w:val="continue"/>
            <w:noWrap w:val="0"/>
            <w:vAlign w:val="center"/>
          </w:tcPr>
          <w:p w14:paraId="0E137AF3">
            <w:pPr>
              <w:widowControl/>
              <w:jc w:val="left"/>
              <w:rPr>
                <w:rFonts w:hint="eastAsia" w:ascii="宋体" w:hAnsi="宋体" w:eastAsia="宋体" w:cs="宋体"/>
                <w:color w:val="auto"/>
                <w:kern w:val="0"/>
                <w:sz w:val="24"/>
                <w:szCs w:val="24"/>
                <w:highlight w:val="none"/>
              </w:rPr>
            </w:pPr>
          </w:p>
        </w:tc>
        <w:tc>
          <w:tcPr>
            <w:tcW w:w="842" w:type="dxa"/>
            <w:vMerge w:val="continue"/>
            <w:noWrap w:val="0"/>
            <w:vAlign w:val="center"/>
          </w:tcPr>
          <w:p w14:paraId="3836817E">
            <w:pPr>
              <w:widowControl/>
              <w:jc w:val="left"/>
              <w:rPr>
                <w:rFonts w:hint="eastAsia" w:ascii="宋体" w:hAnsi="宋体" w:eastAsia="宋体" w:cs="宋体"/>
                <w:color w:val="auto"/>
                <w:kern w:val="0"/>
                <w:sz w:val="24"/>
                <w:szCs w:val="24"/>
                <w:highlight w:val="none"/>
              </w:rPr>
            </w:pPr>
          </w:p>
        </w:tc>
        <w:tc>
          <w:tcPr>
            <w:tcW w:w="3550" w:type="dxa"/>
            <w:tcBorders>
              <w:top w:val="single" w:color="auto" w:sz="6" w:space="0"/>
              <w:bottom w:val="single" w:color="auto" w:sz="6" w:space="0"/>
            </w:tcBorders>
            <w:noWrap w:val="0"/>
            <w:vAlign w:val="center"/>
          </w:tcPr>
          <w:p w14:paraId="609DEEB3">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2"/>
                <w:sz w:val="24"/>
                <w:szCs w:val="24"/>
                <w:highlight w:val="none"/>
                <w:lang w:val="en-US" w:eastAsia="zh-CN" w:bidi="ar-SA"/>
              </w:rPr>
              <w:t>参加政府采购活动前三年内，在经营活动中没有重大违法记录</w:t>
            </w:r>
          </w:p>
        </w:tc>
        <w:tc>
          <w:tcPr>
            <w:tcW w:w="4893" w:type="dxa"/>
            <w:tcBorders>
              <w:top w:val="single" w:color="auto" w:sz="6" w:space="0"/>
              <w:bottom w:val="single" w:color="auto" w:sz="6" w:space="0"/>
            </w:tcBorders>
            <w:noWrap w:val="0"/>
            <w:vAlign w:val="center"/>
          </w:tcPr>
          <w:p w14:paraId="5CF8C3C1">
            <w:pPr>
              <w:autoSpaceDE w:val="0"/>
              <w:autoSpaceDN w:val="0"/>
              <w:adjustRightInd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符合招标</w:t>
            </w:r>
            <w:r>
              <w:rPr>
                <w:rFonts w:hint="eastAsia" w:ascii="宋体" w:hAnsi="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val="en-US" w:eastAsia="zh-CN"/>
              </w:rPr>
              <w:t>要求</w:t>
            </w:r>
          </w:p>
        </w:tc>
      </w:tr>
      <w:tr w14:paraId="7F872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027" w:type="dxa"/>
            <w:vMerge w:val="continue"/>
            <w:noWrap w:val="0"/>
            <w:vAlign w:val="center"/>
          </w:tcPr>
          <w:p w14:paraId="71A33C7A">
            <w:pPr>
              <w:widowControl/>
              <w:jc w:val="left"/>
              <w:rPr>
                <w:rFonts w:hint="eastAsia" w:ascii="宋体" w:hAnsi="宋体" w:eastAsia="宋体" w:cs="宋体"/>
                <w:color w:val="auto"/>
                <w:kern w:val="0"/>
                <w:sz w:val="24"/>
                <w:szCs w:val="24"/>
                <w:highlight w:val="none"/>
              </w:rPr>
            </w:pPr>
          </w:p>
        </w:tc>
        <w:tc>
          <w:tcPr>
            <w:tcW w:w="842" w:type="dxa"/>
            <w:vMerge w:val="continue"/>
            <w:noWrap w:val="0"/>
            <w:vAlign w:val="center"/>
          </w:tcPr>
          <w:p w14:paraId="210DFC97">
            <w:pPr>
              <w:widowControl/>
              <w:jc w:val="left"/>
              <w:rPr>
                <w:rFonts w:hint="eastAsia" w:ascii="宋体" w:hAnsi="宋体" w:eastAsia="宋体" w:cs="宋体"/>
                <w:color w:val="auto"/>
                <w:kern w:val="0"/>
                <w:sz w:val="24"/>
                <w:szCs w:val="24"/>
                <w:highlight w:val="none"/>
              </w:rPr>
            </w:pPr>
          </w:p>
        </w:tc>
        <w:tc>
          <w:tcPr>
            <w:tcW w:w="3550" w:type="dxa"/>
            <w:tcBorders>
              <w:top w:val="single" w:color="auto" w:sz="6" w:space="0"/>
              <w:bottom w:val="single" w:color="auto" w:sz="6" w:space="0"/>
            </w:tcBorders>
            <w:noWrap w:val="0"/>
            <w:vAlign w:val="center"/>
          </w:tcPr>
          <w:p w14:paraId="7435C580">
            <w:pPr>
              <w:autoSpaceDE w:val="0"/>
              <w:autoSpaceDN w:val="0"/>
              <w:adjustRightInd w:val="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法律、行政法规规定的其他条件</w:t>
            </w:r>
          </w:p>
        </w:tc>
        <w:tc>
          <w:tcPr>
            <w:tcW w:w="4893" w:type="dxa"/>
            <w:tcBorders>
              <w:top w:val="single" w:color="auto" w:sz="6" w:space="0"/>
              <w:bottom w:val="single" w:color="auto" w:sz="6" w:space="0"/>
            </w:tcBorders>
            <w:noWrap w:val="0"/>
            <w:vAlign w:val="center"/>
          </w:tcPr>
          <w:p w14:paraId="5BFC6708">
            <w:pPr>
              <w:autoSpaceDE w:val="0"/>
              <w:autoSpaceDN w:val="0"/>
              <w:adjustRightInd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符合招标</w:t>
            </w:r>
            <w:r>
              <w:rPr>
                <w:rFonts w:hint="eastAsia" w:ascii="宋体" w:hAnsi="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val="en-US" w:eastAsia="zh-CN"/>
              </w:rPr>
              <w:t>要求</w:t>
            </w:r>
          </w:p>
        </w:tc>
      </w:tr>
      <w:tr w14:paraId="6D91E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27" w:type="dxa"/>
            <w:vMerge w:val="continue"/>
            <w:noWrap w:val="0"/>
            <w:vAlign w:val="center"/>
          </w:tcPr>
          <w:p w14:paraId="087FD107">
            <w:pPr>
              <w:widowControl/>
              <w:jc w:val="left"/>
              <w:rPr>
                <w:rFonts w:hint="eastAsia" w:ascii="宋体" w:hAnsi="宋体" w:eastAsia="宋体" w:cs="宋体"/>
                <w:color w:val="auto"/>
                <w:kern w:val="0"/>
                <w:sz w:val="24"/>
                <w:szCs w:val="24"/>
                <w:highlight w:val="none"/>
              </w:rPr>
            </w:pPr>
          </w:p>
        </w:tc>
        <w:tc>
          <w:tcPr>
            <w:tcW w:w="842" w:type="dxa"/>
            <w:vMerge w:val="continue"/>
            <w:noWrap w:val="0"/>
            <w:vAlign w:val="center"/>
          </w:tcPr>
          <w:p w14:paraId="74341E4E">
            <w:pPr>
              <w:widowControl/>
              <w:jc w:val="left"/>
              <w:rPr>
                <w:rFonts w:hint="eastAsia" w:ascii="宋体" w:hAnsi="宋体" w:eastAsia="宋体" w:cs="宋体"/>
                <w:color w:val="auto"/>
                <w:kern w:val="0"/>
                <w:sz w:val="24"/>
                <w:szCs w:val="24"/>
                <w:highlight w:val="none"/>
              </w:rPr>
            </w:pPr>
          </w:p>
        </w:tc>
        <w:tc>
          <w:tcPr>
            <w:tcW w:w="3550" w:type="dxa"/>
            <w:tcBorders>
              <w:top w:val="single" w:color="auto" w:sz="6" w:space="0"/>
              <w:bottom w:val="single" w:color="auto" w:sz="6" w:space="0"/>
            </w:tcBorders>
            <w:noWrap w:val="0"/>
            <w:vAlign w:val="center"/>
          </w:tcPr>
          <w:p w14:paraId="7B76ABB2">
            <w:pPr>
              <w:pStyle w:val="27"/>
              <w:ind w:left="0" w:leftChars="0"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第一、三、</w:t>
            </w:r>
            <w:r>
              <w:rPr>
                <w:rFonts w:hint="eastAsia" w:ascii="宋体" w:hAnsi="宋体" w:eastAsia="宋体" w:cs="宋体"/>
                <w:b w:val="0"/>
                <w:bCs w:val="0"/>
                <w:color w:val="auto"/>
                <w:kern w:val="2"/>
                <w:sz w:val="24"/>
                <w:szCs w:val="24"/>
                <w:highlight w:val="none"/>
                <w:lang w:val="en-US" w:eastAsia="zh-CN" w:bidi="ar-SA"/>
              </w:rPr>
              <w:t>四、五标段：</w:t>
            </w:r>
            <w:r>
              <w:rPr>
                <w:rFonts w:hint="eastAsia" w:ascii="宋体" w:hAnsi="宋体" w:eastAsia="宋体" w:cs="宋体"/>
                <w:b w:val="0"/>
                <w:bCs w:val="0"/>
                <w:color w:val="000000"/>
                <w:kern w:val="2"/>
                <w:sz w:val="24"/>
                <w:szCs w:val="24"/>
                <w:highlight w:val="none"/>
                <w:lang w:val="en-US" w:eastAsia="zh-CN" w:bidi="ar-SA"/>
              </w:rPr>
              <w:t>投标人为经销商的提供所投医疗器械对应类别的《医疗器械经营备案凭证》或《医疗器械经营许可证》，投标人若为生产商的提供所投医疗器械对应类别的《医疗</w:t>
            </w:r>
            <w:r>
              <w:rPr>
                <w:rFonts w:hint="eastAsia" w:ascii="宋体" w:hAnsi="宋体" w:cs="宋体"/>
                <w:b w:val="0"/>
                <w:bCs w:val="0"/>
                <w:color w:val="000000"/>
                <w:kern w:val="2"/>
                <w:sz w:val="24"/>
                <w:szCs w:val="24"/>
                <w:highlight w:val="none"/>
                <w:lang w:val="en-US" w:eastAsia="zh-CN" w:bidi="ar-SA"/>
              </w:rPr>
              <w:t>器械生产备案凭证》或《医疗器械生产许可证》</w:t>
            </w:r>
          </w:p>
          <w:p w14:paraId="566D691E">
            <w:pPr>
              <w:pStyle w:val="27"/>
              <w:ind w:left="0" w:leftChars="0" w:firstLine="0" w:firstLineChars="0"/>
              <w:jc w:val="center"/>
              <w:rPr>
                <w:rFonts w:hint="eastAsia"/>
                <w:color w:val="auto"/>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（上传主体诚信库）</w:t>
            </w:r>
          </w:p>
        </w:tc>
        <w:tc>
          <w:tcPr>
            <w:tcW w:w="4893" w:type="dxa"/>
            <w:tcBorders>
              <w:top w:val="single" w:color="auto" w:sz="6" w:space="0"/>
              <w:bottom w:val="single" w:color="auto" w:sz="6" w:space="0"/>
            </w:tcBorders>
            <w:noWrap w:val="0"/>
            <w:vAlign w:val="center"/>
          </w:tcPr>
          <w:p w14:paraId="5B6807A4">
            <w:pPr>
              <w:tabs>
                <w:tab w:val="left" w:pos="1268"/>
              </w:tabs>
              <w:autoSpaceDE w:val="0"/>
              <w:autoSpaceDN w:val="0"/>
              <w:adjustRightInd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符合招标</w:t>
            </w:r>
            <w:r>
              <w:rPr>
                <w:rFonts w:hint="eastAsia" w:ascii="宋体" w:hAnsi="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val="en-US" w:eastAsia="zh-CN"/>
              </w:rPr>
              <w:t>要求</w:t>
            </w:r>
          </w:p>
        </w:tc>
      </w:tr>
      <w:tr w14:paraId="1840E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27" w:type="dxa"/>
            <w:vMerge w:val="continue"/>
            <w:noWrap w:val="0"/>
            <w:vAlign w:val="center"/>
          </w:tcPr>
          <w:p w14:paraId="6AA9B9FE">
            <w:pPr>
              <w:widowControl/>
              <w:jc w:val="left"/>
              <w:rPr>
                <w:rFonts w:hint="eastAsia" w:ascii="宋体" w:hAnsi="宋体" w:eastAsia="宋体" w:cs="宋体"/>
                <w:color w:val="auto"/>
                <w:kern w:val="0"/>
                <w:sz w:val="24"/>
                <w:szCs w:val="24"/>
                <w:highlight w:val="none"/>
              </w:rPr>
            </w:pPr>
          </w:p>
        </w:tc>
        <w:tc>
          <w:tcPr>
            <w:tcW w:w="842" w:type="dxa"/>
            <w:vMerge w:val="continue"/>
            <w:noWrap w:val="0"/>
            <w:vAlign w:val="center"/>
          </w:tcPr>
          <w:p w14:paraId="734FA7A7">
            <w:pPr>
              <w:widowControl/>
              <w:jc w:val="left"/>
              <w:rPr>
                <w:rFonts w:hint="eastAsia" w:ascii="宋体" w:hAnsi="宋体" w:eastAsia="宋体" w:cs="宋体"/>
                <w:color w:val="auto"/>
                <w:kern w:val="0"/>
                <w:sz w:val="24"/>
                <w:szCs w:val="24"/>
                <w:highlight w:val="none"/>
              </w:rPr>
            </w:pPr>
          </w:p>
        </w:tc>
        <w:tc>
          <w:tcPr>
            <w:tcW w:w="3550" w:type="dxa"/>
            <w:tcBorders>
              <w:top w:val="single" w:color="auto" w:sz="6" w:space="0"/>
              <w:bottom w:val="single" w:color="auto" w:sz="6" w:space="0"/>
            </w:tcBorders>
            <w:noWrap w:val="0"/>
            <w:vAlign w:val="center"/>
          </w:tcPr>
          <w:p w14:paraId="7822D7BA">
            <w:pPr>
              <w:autoSpaceDE w:val="0"/>
              <w:autoSpaceDN w:val="0"/>
              <w:adjustRightInd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信用查询</w:t>
            </w:r>
          </w:p>
        </w:tc>
        <w:tc>
          <w:tcPr>
            <w:tcW w:w="4893" w:type="dxa"/>
            <w:tcBorders>
              <w:top w:val="single" w:color="auto" w:sz="6" w:space="0"/>
              <w:bottom w:val="single" w:color="auto" w:sz="6" w:space="0"/>
            </w:tcBorders>
            <w:noWrap w:val="0"/>
            <w:vAlign w:val="center"/>
          </w:tcPr>
          <w:p w14:paraId="5AB008CF">
            <w:pPr>
              <w:tabs>
                <w:tab w:val="left" w:pos="1268"/>
              </w:tabs>
              <w:autoSpaceDE w:val="0"/>
              <w:autoSpaceDN w:val="0"/>
              <w:adjustRightInd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符合招标</w:t>
            </w:r>
            <w:r>
              <w:rPr>
                <w:rFonts w:hint="eastAsia" w:ascii="宋体" w:hAnsi="宋体" w:cs="宋体"/>
                <w:color w:val="auto"/>
                <w:kern w:val="0"/>
                <w:sz w:val="24"/>
                <w:szCs w:val="24"/>
                <w:highlight w:val="none"/>
                <w:lang w:val="en-US" w:eastAsia="zh-CN"/>
              </w:rPr>
              <w:t>文件</w:t>
            </w:r>
            <w:r>
              <w:rPr>
                <w:rFonts w:hint="eastAsia" w:ascii="宋体" w:hAnsi="宋体" w:eastAsia="宋体" w:cs="宋体"/>
                <w:color w:val="auto"/>
                <w:kern w:val="0"/>
                <w:sz w:val="24"/>
                <w:szCs w:val="24"/>
                <w:highlight w:val="none"/>
                <w:lang w:val="en-US" w:eastAsia="zh-CN"/>
              </w:rPr>
              <w:t>要求</w:t>
            </w:r>
          </w:p>
        </w:tc>
      </w:tr>
      <w:tr w14:paraId="497A1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27" w:type="dxa"/>
            <w:vMerge w:val="continue"/>
            <w:noWrap w:val="0"/>
            <w:vAlign w:val="center"/>
          </w:tcPr>
          <w:p w14:paraId="0096C892">
            <w:pPr>
              <w:widowControl/>
              <w:jc w:val="left"/>
              <w:rPr>
                <w:rFonts w:hint="eastAsia" w:ascii="宋体" w:hAnsi="宋体" w:eastAsia="宋体" w:cs="宋体"/>
                <w:color w:val="auto"/>
                <w:kern w:val="0"/>
                <w:sz w:val="24"/>
                <w:szCs w:val="24"/>
                <w:highlight w:val="none"/>
              </w:rPr>
            </w:pPr>
          </w:p>
        </w:tc>
        <w:tc>
          <w:tcPr>
            <w:tcW w:w="842" w:type="dxa"/>
            <w:vMerge w:val="continue"/>
            <w:noWrap w:val="0"/>
            <w:vAlign w:val="center"/>
          </w:tcPr>
          <w:p w14:paraId="716C3516">
            <w:pPr>
              <w:widowControl/>
              <w:jc w:val="left"/>
              <w:rPr>
                <w:rFonts w:hint="eastAsia" w:ascii="宋体" w:hAnsi="宋体" w:eastAsia="宋体" w:cs="宋体"/>
                <w:color w:val="auto"/>
                <w:kern w:val="0"/>
                <w:sz w:val="24"/>
                <w:szCs w:val="24"/>
                <w:highlight w:val="none"/>
              </w:rPr>
            </w:pPr>
          </w:p>
        </w:tc>
        <w:tc>
          <w:tcPr>
            <w:tcW w:w="3550" w:type="dxa"/>
            <w:tcBorders>
              <w:top w:val="single" w:color="auto" w:sz="6" w:space="0"/>
              <w:bottom w:val="single" w:color="auto" w:sz="6" w:space="0"/>
            </w:tcBorders>
            <w:noWrap w:val="0"/>
            <w:vAlign w:val="center"/>
          </w:tcPr>
          <w:p w14:paraId="284AD68F">
            <w:pPr>
              <w:autoSpaceDE w:val="0"/>
              <w:autoSpaceDN w:val="0"/>
              <w:adjustRightInd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w:t>
            </w:r>
          </w:p>
        </w:tc>
        <w:tc>
          <w:tcPr>
            <w:tcW w:w="4893" w:type="dxa"/>
            <w:tcBorders>
              <w:top w:val="single" w:color="auto" w:sz="6" w:space="0"/>
              <w:bottom w:val="single" w:color="auto" w:sz="6" w:space="0"/>
            </w:tcBorders>
            <w:noWrap w:val="0"/>
            <w:vAlign w:val="center"/>
          </w:tcPr>
          <w:p w14:paraId="07D3B721">
            <w:pPr>
              <w:tabs>
                <w:tab w:val="left" w:pos="1268"/>
              </w:tabs>
              <w:autoSpaceDE w:val="0"/>
              <w:autoSpaceDN w:val="0"/>
              <w:adjustRightIn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符合招标文件要求</w:t>
            </w:r>
          </w:p>
        </w:tc>
      </w:tr>
      <w:tr w14:paraId="5B944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027" w:type="dxa"/>
            <w:vMerge w:val="restart"/>
            <w:tcBorders>
              <w:top w:val="single" w:color="auto" w:sz="6" w:space="0"/>
            </w:tcBorders>
            <w:noWrap w:val="0"/>
            <w:vAlign w:val="center"/>
          </w:tcPr>
          <w:p w14:paraId="412361FE">
            <w:pPr>
              <w:autoSpaceDE w:val="0"/>
              <w:autoSpaceDN w:val="0"/>
              <w:adjustRightInd w:val="0"/>
              <w:spacing w:line="40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w:t>
            </w:r>
            <w:r>
              <w:rPr>
                <w:rFonts w:hint="eastAsia" w:ascii="宋体" w:hAnsi="宋体" w:eastAsia="宋体" w:cs="宋体"/>
                <w:color w:val="auto"/>
                <w:kern w:val="0"/>
                <w:sz w:val="24"/>
                <w:szCs w:val="24"/>
                <w:highlight w:val="none"/>
                <w:lang w:val="en-US" w:eastAsia="zh-CN"/>
              </w:rPr>
              <w:t>3</w:t>
            </w:r>
          </w:p>
        </w:tc>
        <w:tc>
          <w:tcPr>
            <w:tcW w:w="842" w:type="dxa"/>
            <w:vMerge w:val="restart"/>
            <w:noWrap w:val="0"/>
            <w:vAlign w:val="center"/>
          </w:tcPr>
          <w:p w14:paraId="50A762DB">
            <w:pPr>
              <w:autoSpaceDE w:val="0"/>
              <w:autoSpaceDN w:val="0"/>
              <w:adjustRightInd w:val="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符合评审标准</w:t>
            </w:r>
          </w:p>
        </w:tc>
        <w:tc>
          <w:tcPr>
            <w:tcW w:w="3550" w:type="dxa"/>
            <w:tcBorders>
              <w:top w:val="single" w:color="auto" w:sz="6" w:space="0"/>
              <w:bottom w:val="single" w:color="auto" w:sz="6" w:space="0"/>
            </w:tcBorders>
            <w:noWrap w:val="0"/>
            <w:vAlign w:val="center"/>
          </w:tcPr>
          <w:p w14:paraId="10780413">
            <w:pPr>
              <w:autoSpaceDE w:val="0"/>
              <w:autoSpaceDN w:val="0"/>
              <w:adjustRightInd w:val="0"/>
              <w:snapToGrid w:val="0"/>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eastAsia="zh-CN"/>
              </w:rPr>
              <w:t>供货期限</w:t>
            </w:r>
          </w:p>
        </w:tc>
        <w:tc>
          <w:tcPr>
            <w:tcW w:w="4893" w:type="dxa"/>
            <w:tcBorders>
              <w:top w:val="single" w:color="auto" w:sz="6" w:space="0"/>
              <w:bottom w:val="single" w:color="auto" w:sz="6" w:space="0"/>
            </w:tcBorders>
            <w:noWrap w:val="0"/>
            <w:vAlign w:val="center"/>
          </w:tcPr>
          <w:p w14:paraId="4F97DCA5">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符合招标文件要求</w:t>
            </w:r>
          </w:p>
        </w:tc>
      </w:tr>
      <w:tr w14:paraId="140A2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027" w:type="dxa"/>
            <w:vMerge w:val="continue"/>
            <w:noWrap w:val="0"/>
            <w:vAlign w:val="center"/>
          </w:tcPr>
          <w:p w14:paraId="69E4BBB0">
            <w:pPr>
              <w:widowControl/>
              <w:jc w:val="left"/>
              <w:rPr>
                <w:rFonts w:hint="eastAsia" w:ascii="宋体" w:hAnsi="宋体" w:eastAsia="宋体" w:cs="宋体"/>
                <w:color w:val="auto"/>
                <w:kern w:val="0"/>
                <w:sz w:val="24"/>
                <w:szCs w:val="24"/>
                <w:highlight w:val="none"/>
              </w:rPr>
            </w:pPr>
          </w:p>
        </w:tc>
        <w:tc>
          <w:tcPr>
            <w:tcW w:w="842" w:type="dxa"/>
            <w:vMerge w:val="continue"/>
            <w:noWrap w:val="0"/>
            <w:vAlign w:val="center"/>
          </w:tcPr>
          <w:p w14:paraId="62761046">
            <w:pPr>
              <w:widowControl/>
              <w:jc w:val="left"/>
              <w:rPr>
                <w:rFonts w:hint="eastAsia" w:ascii="宋体" w:hAnsi="宋体" w:eastAsia="宋体" w:cs="宋体"/>
                <w:color w:val="auto"/>
                <w:kern w:val="0"/>
                <w:sz w:val="24"/>
                <w:szCs w:val="24"/>
                <w:highlight w:val="none"/>
              </w:rPr>
            </w:pPr>
          </w:p>
        </w:tc>
        <w:tc>
          <w:tcPr>
            <w:tcW w:w="3550" w:type="dxa"/>
            <w:tcBorders>
              <w:top w:val="single" w:color="auto" w:sz="6" w:space="0"/>
              <w:bottom w:val="single" w:color="auto" w:sz="6" w:space="0"/>
            </w:tcBorders>
            <w:noWrap w:val="0"/>
            <w:vAlign w:val="center"/>
          </w:tcPr>
          <w:p w14:paraId="26FC86D7">
            <w:pPr>
              <w:autoSpaceDE w:val="0"/>
              <w:autoSpaceDN w:val="0"/>
              <w:adjustRightInd w:val="0"/>
              <w:snapToGrid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质量要求</w:t>
            </w:r>
          </w:p>
        </w:tc>
        <w:tc>
          <w:tcPr>
            <w:tcW w:w="4893" w:type="dxa"/>
            <w:tcBorders>
              <w:top w:val="single" w:color="auto" w:sz="6" w:space="0"/>
              <w:bottom w:val="single" w:color="auto" w:sz="6" w:space="0"/>
            </w:tcBorders>
            <w:noWrap w:val="0"/>
            <w:vAlign w:val="center"/>
          </w:tcPr>
          <w:p w14:paraId="797A4C89">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符合招标文件要求</w:t>
            </w:r>
          </w:p>
        </w:tc>
      </w:tr>
      <w:tr w14:paraId="33451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1027" w:type="dxa"/>
            <w:vMerge w:val="continue"/>
            <w:noWrap w:val="0"/>
            <w:vAlign w:val="center"/>
          </w:tcPr>
          <w:p w14:paraId="69602373">
            <w:pPr>
              <w:widowControl/>
              <w:jc w:val="left"/>
              <w:rPr>
                <w:rFonts w:hint="eastAsia" w:ascii="宋体" w:hAnsi="宋体" w:eastAsia="宋体" w:cs="宋体"/>
                <w:color w:val="auto"/>
                <w:kern w:val="0"/>
                <w:sz w:val="24"/>
                <w:szCs w:val="24"/>
                <w:highlight w:val="none"/>
              </w:rPr>
            </w:pPr>
          </w:p>
        </w:tc>
        <w:tc>
          <w:tcPr>
            <w:tcW w:w="842" w:type="dxa"/>
            <w:vMerge w:val="continue"/>
            <w:noWrap w:val="0"/>
            <w:vAlign w:val="center"/>
          </w:tcPr>
          <w:p w14:paraId="3670F52E">
            <w:pPr>
              <w:widowControl/>
              <w:jc w:val="left"/>
              <w:rPr>
                <w:rFonts w:hint="eastAsia" w:ascii="宋体" w:hAnsi="宋体" w:eastAsia="宋体" w:cs="宋体"/>
                <w:color w:val="auto"/>
                <w:kern w:val="0"/>
                <w:sz w:val="24"/>
                <w:szCs w:val="24"/>
                <w:highlight w:val="none"/>
              </w:rPr>
            </w:pPr>
          </w:p>
        </w:tc>
        <w:tc>
          <w:tcPr>
            <w:tcW w:w="3550" w:type="dxa"/>
            <w:tcBorders>
              <w:top w:val="single" w:color="auto" w:sz="6" w:space="0"/>
              <w:bottom w:val="single" w:color="auto" w:sz="6" w:space="0"/>
            </w:tcBorders>
            <w:noWrap w:val="0"/>
            <w:vAlign w:val="center"/>
          </w:tcPr>
          <w:p w14:paraId="751963AB">
            <w:pPr>
              <w:autoSpaceDE w:val="0"/>
              <w:autoSpaceDN w:val="0"/>
              <w:adjustRightInd w:val="0"/>
              <w:snapToGrid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投标报价</w:t>
            </w:r>
          </w:p>
        </w:tc>
        <w:tc>
          <w:tcPr>
            <w:tcW w:w="4893" w:type="dxa"/>
            <w:tcBorders>
              <w:top w:val="single" w:color="auto" w:sz="6" w:space="0"/>
              <w:bottom w:val="single" w:color="auto" w:sz="6" w:space="0"/>
            </w:tcBorders>
            <w:noWrap w:val="0"/>
            <w:vAlign w:val="center"/>
          </w:tcPr>
          <w:p w14:paraId="12613EE4">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不得超过招标控制价</w:t>
            </w:r>
          </w:p>
        </w:tc>
      </w:tr>
      <w:tr w14:paraId="5B865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1027" w:type="dxa"/>
            <w:vMerge w:val="continue"/>
            <w:noWrap w:val="0"/>
            <w:vAlign w:val="center"/>
          </w:tcPr>
          <w:p w14:paraId="20EC1690">
            <w:pPr>
              <w:widowControl/>
              <w:jc w:val="left"/>
              <w:rPr>
                <w:rFonts w:hint="eastAsia" w:ascii="宋体" w:hAnsi="宋体" w:eastAsia="宋体" w:cs="宋体"/>
                <w:color w:val="auto"/>
                <w:kern w:val="0"/>
                <w:sz w:val="24"/>
                <w:szCs w:val="24"/>
                <w:highlight w:val="none"/>
              </w:rPr>
            </w:pPr>
          </w:p>
        </w:tc>
        <w:tc>
          <w:tcPr>
            <w:tcW w:w="842" w:type="dxa"/>
            <w:vMerge w:val="continue"/>
            <w:noWrap w:val="0"/>
            <w:vAlign w:val="center"/>
          </w:tcPr>
          <w:p w14:paraId="5C631D1D">
            <w:pPr>
              <w:widowControl/>
              <w:jc w:val="left"/>
              <w:rPr>
                <w:rFonts w:hint="eastAsia" w:ascii="宋体" w:hAnsi="宋体" w:eastAsia="宋体" w:cs="宋体"/>
                <w:color w:val="auto"/>
                <w:kern w:val="0"/>
                <w:sz w:val="24"/>
                <w:szCs w:val="24"/>
                <w:highlight w:val="none"/>
              </w:rPr>
            </w:pPr>
          </w:p>
        </w:tc>
        <w:tc>
          <w:tcPr>
            <w:tcW w:w="3550" w:type="dxa"/>
            <w:tcBorders>
              <w:top w:val="single" w:color="auto" w:sz="6" w:space="0"/>
              <w:bottom w:val="single" w:color="auto" w:sz="6" w:space="0"/>
            </w:tcBorders>
            <w:noWrap w:val="0"/>
            <w:vAlign w:val="center"/>
          </w:tcPr>
          <w:p w14:paraId="1320FDFA">
            <w:pPr>
              <w:autoSpaceDE w:val="0"/>
              <w:autoSpaceDN w:val="0"/>
              <w:adjustRightInd w:val="0"/>
              <w:jc w:val="center"/>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2"/>
                <w:sz w:val="24"/>
                <w:szCs w:val="24"/>
                <w:highlight w:val="none"/>
                <w:lang w:val="en-US" w:eastAsia="zh-CN" w:bidi="ar-SA"/>
              </w:rPr>
              <w:t>其他</w:t>
            </w:r>
          </w:p>
        </w:tc>
        <w:tc>
          <w:tcPr>
            <w:tcW w:w="4893" w:type="dxa"/>
            <w:tcBorders>
              <w:top w:val="single" w:color="auto" w:sz="6" w:space="0"/>
              <w:bottom w:val="single" w:color="auto" w:sz="6" w:space="0"/>
            </w:tcBorders>
            <w:noWrap w:val="0"/>
            <w:vAlign w:val="center"/>
          </w:tcPr>
          <w:p w14:paraId="0889B72A">
            <w:pPr>
              <w:tabs>
                <w:tab w:val="left" w:pos="1268"/>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符合招标文件要求</w:t>
            </w:r>
          </w:p>
        </w:tc>
      </w:tr>
      <w:tr w14:paraId="7467E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1869" w:type="dxa"/>
            <w:gridSpan w:val="2"/>
            <w:tcBorders>
              <w:top w:val="single" w:color="auto" w:sz="6" w:space="0"/>
              <w:bottom w:val="single" w:color="auto" w:sz="6" w:space="0"/>
            </w:tcBorders>
            <w:noWrap w:val="0"/>
            <w:vAlign w:val="center"/>
          </w:tcPr>
          <w:p w14:paraId="62E1E0BA">
            <w:pPr>
              <w:autoSpaceDE w:val="0"/>
              <w:autoSpaceDN w:val="0"/>
              <w:adjustRightInd w:val="0"/>
              <w:spacing w:line="380" w:lineRule="exact"/>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条款号</w:t>
            </w:r>
          </w:p>
        </w:tc>
        <w:tc>
          <w:tcPr>
            <w:tcW w:w="3550" w:type="dxa"/>
            <w:tcBorders>
              <w:top w:val="single" w:color="auto" w:sz="6" w:space="0"/>
              <w:bottom w:val="single" w:color="auto" w:sz="6" w:space="0"/>
            </w:tcBorders>
            <w:noWrap w:val="0"/>
            <w:vAlign w:val="center"/>
          </w:tcPr>
          <w:p w14:paraId="417E75FD">
            <w:pPr>
              <w:autoSpaceDE w:val="0"/>
              <w:autoSpaceDN w:val="0"/>
              <w:adjustRightInd w:val="0"/>
              <w:snapToGrid w:val="0"/>
              <w:spacing w:line="380" w:lineRule="exact"/>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条款内容</w:t>
            </w:r>
          </w:p>
        </w:tc>
        <w:tc>
          <w:tcPr>
            <w:tcW w:w="4893" w:type="dxa"/>
            <w:tcBorders>
              <w:top w:val="single" w:color="auto" w:sz="6" w:space="0"/>
              <w:bottom w:val="single" w:color="auto" w:sz="6" w:space="0"/>
            </w:tcBorders>
            <w:noWrap w:val="0"/>
            <w:vAlign w:val="center"/>
          </w:tcPr>
          <w:p w14:paraId="2FD96203">
            <w:pPr>
              <w:autoSpaceDE w:val="0"/>
              <w:autoSpaceDN w:val="0"/>
              <w:adjustRightInd w:val="0"/>
              <w:snapToGrid w:val="0"/>
              <w:spacing w:line="380" w:lineRule="exact"/>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编列内容</w:t>
            </w:r>
          </w:p>
        </w:tc>
      </w:tr>
      <w:tr w14:paraId="0B783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atLeast"/>
        </w:trPr>
        <w:tc>
          <w:tcPr>
            <w:tcW w:w="1869" w:type="dxa"/>
            <w:gridSpan w:val="2"/>
            <w:tcBorders>
              <w:top w:val="single" w:color="auto" w:sz="6" w:space="0"/>
              <w:bottom w:val="single" w:color="auto" w:sz="6" w:space="0"/>
            </w:tcBorders>
            <w:noWrap w:val="0"/>
            <w:vAlign w:val="center"/>
          </w:tcPr>
          <w:p w14:paraId="031FE7BE">
            <w:pPr>
              <w:autoSpaceDE w:val="0"/>
              <w:autoSpaceDN w:val="0"/>
              <w:adjustRightInd w:val="0"/>
              <w:spacing w:line="3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w:t>
            </w:r>
          </w:p>
        </w:tc>
        <w:tc>
          <w:tcPr>
            <w:tcW w:w="3550" w:type="dxa"/>
            <w:tcBorders>
              <w:top w:val="single" w:color="auto" w:sz="6" w:space="0"/>
              <w:bottom w:val="single" w:color="auto" w:sz="6" w:space="0"/>
            </w:tcBorders>
            <w:noWrap w:val="0"/>
            <w:vAlign w:val="center"/>
          </w:tcPr>
          <w:p w14:paraId="35707A2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分值构成</w:t>
            </w:r>
          </w:p>
          <w:p w14:paraId="7405609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(总分100分)</w:t>
            </w:r>
          </w:p>
        </w:tc>
        <w:tc>
          <w:tcPr>
            <w:tcW w:w="4893" w:type="dxa"/>
            <w:tcBorders>
              <w:top w:val="single" w:color="auto" w:sz="6" w:space="0"/>
              <w:bottom w:val="single" w:color="auto" w:sz="6" w:space="0"/>
            </w:tcBorders>
            <w:noWrap w:val="0"/>
            <w:vAlign w:val="center"/>
          </w:tcPr>
          <w:p w14:paraId="228DE04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w:t>
            </w:r>
          </w:p>
          <w:p w14:paraId="61C9D67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0分</w:t>
            </w:r>
          </w:p>
          <w:p w14:paraId="316F916E">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实施方案：40分</w:t>
            </w:r>
          </w:p>
          <w:p w14:paraId="52E9A846">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商务部分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r>
      <w:tr w14:paraId="0A4C6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9" w:hRule="atLeast"/>
        </w:trPr>
        <w:tc>
          <w:tcPr>
            <w:tcW w:w="1869" w:type="dxa"/>
            <w:gridSpan w:val="2"/>
            <w:tcBorders>
              <w:top w:val="single" w:color="auto" w:sz="6" w:space="0"/>
            </w:tcBorders>
            <w:noWrap w:val="0"/>
            <w:vAlign w:val="center"/>
          </w:tcPr>
          <w:p w14:paraId="4756DAFE">
            <w:pPr>
              <w:autoSpaceDE w:val="0"/>
              <w:autoSpaceDN w:val="0"/>
              <w:adjustRightInd w:val="0"/>
              <w:spacing w:line="38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2.2.2</w:t>
            </w:r>
          </w:p>
        </w:tc>
        <w:tc>
          <w:tcPr>
            <w:tcW w:w="3550" w:type="dxa"/>
            <w:tcBorders>
              <w:top w:val="single" w:color="auto" w:sz="6" w:space="0"/>
              <w:bottom w:val="single" w:color="auto" w:sz="6" w:space="0"/>
            </w:tcBorders>
            <w:noWrap w:val="0"/>
            <w:vAlign w:val="center"/>
          </w:tcPr>
          <w:p w14:paraId="2564DDB3">
            <w:pPr>
              <w:autoSpaceDE w:val="0"/>
              <w:autoSpaceDN w:val="0"/>
              <w:adjustRightInd w:val="0"/>
              <w:snapToGrid w:val="0"/>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w:t>
            </w:r>
          </w:p>
          <w:p w14:paraId="49CFD50B">
            <w:pPr>
              <w:autoSpaceDE w:val="0"/>
              <w:autoSpaceDN w:val="0"/>
              <w:adjustRightInd w:val="0"/>
              <w:snapToGrid w:val="0"/>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（30分）</w:t>
            </w:r>
          </w:p>
        </w:tc>
        <w:tc>
          <w:tcPr>
            <w:tcW w:w="4893" w:type="dxa"/>
            <w:tcBorders>
              <w:top w:val="single" w:color="auto" w:sz="6" w:space="0"/>
              <w:bottom w:val="single" w:color="auto" w:sz="6" w:space="0"/>
            </w:tcBorders>
            <w:noWrap w:val="0"/>
            <w:vAlign w:val="center"/>
          </w:tcPr>
          <w:p w14:paraId="79698683">
            <w:pPr>
              <w:autoSpaceDE w:val="0"/>
              <w:autoSpaceDN w:val="0"/>
              <w:adjustRightInd w:val="0"/>
              <w:snapToGrid w:val="0"/>
              <w:spacing w:line="38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（1）价格分采用低价优先法计算，即通过资格性和符合性审查且投标价格最低的投标报价为评标基准价，其价格得分为满分 30 分。 </w:t>
            </w:r>
          </w:p>
          <w:p w14:paraId="490F1F4C">
            <w:pPr>
              <w:autoSpaceDE w:val="0"/>
              <w:autoSpaceDN w:val="0"/>
              <w:adjustRightInd w:val="0"/>
              <w:snapToGrid w:val="0"/>
              <w:spacing w:line="38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（2）其他投标人的价格分统一按照下列公式计算： </w:t>
            </w:r>
          </w:p>
          <w:p w14:paraId="0EA92267">
            <w:pPr>
              <w:autoSpaceDE w:val="0"/>
              <w:autoSpaceDN w:val="0"/>
              <w:adjustRightInd w:val="0"/>
              <w:snapToGrid w:val="0"/>
              <w:spacing w:line="38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投标报价得分=(评标基准价／投标报价)×30*100% </w:t>
            </w:r>
          </w:p>
          <w:p w14:paraId="7147AA21">
            <w:pPr>
              <w:autoSpaceDE w:val="0"/>
              <w:autoSpaceDN w:val="0"/>
              <w:adjustRightInd w:val="0"/>
              <w:snapToGrid w:val="0"/>
              <w:spacing w:line="38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1C287654">
            <w:pPr>
              <w:autoSpaceDE w:val="0"/>
              <w:autoSpaceDN w:val="0"/>
              <w:adjustRightInd w:val="0"/>
              <w:snapToGrid w:val="0"/>
              <w:spacing w:line="38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评标委员会认为投标人的报价明显低于其他通过符合性审查投标人的报价，有可能影响产品质量或者不能诚信履约的，应当要求其在规定时间内提供书面说明，并提交相关证明材料；投标人不提供书面说明和相关证明材料或者书面说明和相关证明材料不能证明其报价合理性的，评标委员会应当将其作为无效投标处理。</w:t>
            </w:r>
          </w:p>
          <w:p w14:paraId="3A21DFF9">
            <w:pPr>
              <w:autoSpaceDE w:val="0"/>
              <w:autoSpaceDN w:val="0"/>
              <w:adjustRightInd w:val="0"/>
              <w:snapToGrid w:val="0"/>
              <w:spacing w:line="38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对于小型和微型企业产品（监狱企业、残疾人福利性单位视同小微企业）给予20%的价格扣除，以扣除后的价格参与价格评分，投标人须提供《中小企业声明函》。</w:t>
            </w:r>
          </w:p>
          <w:p w14:paraId="2D453D5A">
            <w:pPr>
              <w:autoSpaceDE w:val="0"/>
              <w:autoSpaceDN w:val="0"/>
              <w:adjustRightInd w:val="0"/>
              <w:snapToGrid w:val="0"/>
              <w:spacing w:line="38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3.小微企业、监狱企业、残疾人福利性单位只享受一次价格扣除。</w:t>
            </w:r>
          </w:p>
        </w:tc>
      </w:tr>
      <w:tr w14:paraId="50957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869" w:type="dxa"/>
            <w:gridSpan w:val="2"/>
            <w:tcBorders>
              <w:top w:val="single" w:color="auto" w:sz="6" w:space="0"/>
              <w:bottom w:val="single" w:color="auto" w:sz="6" w:space="0"/>
            </w:tcBorders>
            <w:noWrap w:val="0"/>
            <w:vAlign w:val="center"/>
          </w:tcPr>
          <w:p w14:paraId="4CC2580C">
            <w:pPr>
              <w:autoSpaceDE w:val="0"/>
              <w:autoSpaceDN w:val="0"/>
              <w:adjustRightInd w:val="0"/>
              <w:spacing w:line="380" w:lineRule="exact"/>
              <w:jc w:val="center"/>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2.2.3</w:t>
            </w:r>
          </w:p>
        </w:tc>
        <w:tc>
          <w:tcPr>
            <w:tcW w:w="3550" w:type="dxa"/>
            <w:tcBorders>
              <w:top w:val="single" w:color="auto" w:sz="6" w:space="0"/>
              <w:bottom w:val="single" w:color="auto" w:sz="6" w:space="0"/>
            </w:tcBorders>
            <w:noWrap w:val="0"/>
            <w:vAlign w:val="center"/>
          </w:tcPr>
          <w:p w14:paraId="47F344BB">
            <w:pPr>
              <w:autoSpaceDE w:val="0"/>
              <w:autoSpaceDN w:val="0"/>
              <w:adjustRightInd w:val="0"/>
              <w:snapToGrid w:val="0"/>
              <w:spacing w:line="380" w:lineRule="exact"/>
              <w:jc w:val="center"/>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w:t>
            </w:r>
            <w:r>
              <w:rPr>
                <w:rFonts w:hint="eastAsia" w:ascii="宋体" w:hAnsi="宋体" w:cs="宋体"/>
                <w:color w:val="auto"/>
                <w:kern w:val="2"/>
                <w:sz w:val="24"/>
                <w:szCs w:val="24"/>
                <w:highlight w:val="none"/>
                <w:lang w:val="en-US" w:eastAsia="zh-CN" w:bidi="ar-SA"/>
              </w:rPr>
              <w:t>要求</w:t>
            </w:r>
          </w:p>
          <w:p w14:paraId="786AEC10">
            <w:pPr>
              <w:autoSpaceDE w:val="0"/>
              <w:autoSpaceDN w:val="0"/>
              <w:adjustRightInd w:val="0"/>
              <w:snapToGrid w:val="0"/>
              <w:spacing w:line="380" w:lineRule="exact"/>
              <w:jc w:val="center"/>
              <w:rPr>
                <w:rFonts w:hint="eastAsia" w:ascii="宋体" w:hAnsi="宋体" w:eastAsia="宋体" w:cs="宋体"/>
                <w:b/>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分）</w:t>
            </w:r>
          </w:p>
        </w:tc>
        <w:tc>
          <w:tcPr>
            <w:tcW w:w="4893" w:type="dxa"/>
            <w:tcBorders>
              <w:top w:val="single" w:color="auto" w:sz="6" w:space="0"/>
              <w:bottom w:val="single" w:color="auto" w:sz="6" w:space="0"/>
            </w:tcBorders>
            <w:noWrap w:val="0"/>
            <w:vAlign w:val="center"/>
          </w:tcPr>
          <w:p w14:paraId="3D2AB975">
            <w:pPr>
              <w:keepNext w:val="0"/>
              <w:keepLines w:val="0"/>
              <w:widowControl w:val="0"/>
              <w:suppressLineNumbers w:val="0"/>
              <w:spacing w:before="120" w:beforeAutospacing="0" w:after="120" w:afterAutospacing="0" w:line="360" w:lineRule="auto"/>
              <w:ind w:left="0" w:leftChars="0" w:right="0" w:rightChars="0"/>
              <w:jc w:val="left"/>
              <w:rPr>
                <w:rFonts w:hint="default" w:ascii="宋体" w:hAnsi="宋体" w:eastAsia="宋体" w:cs="宋体"/>
                <w:b/>
                <w:color w:val="auto"/>
                <w:kern w:val="0"/>
                <w:sz w:val="24"/>
                <w:szCs w:val="24"/>
                <w:highlight w:val="none"/>
                <w:lang w:val="en-US"/>
              </w:rPr>
            </w:pPr>
            <w:r>
              <w:rPr>
                <w:rFonts w:hint="eastAsia" w:ascii="宋体" w:hAnsi="宋体" w:cs="宋体"/>
                <w:color w:val="auto"/>
                <w:kern w:val="2"/>
                <w:sz w:val="24"/>
                <w:szCs w:val="24"/>
                <w:highlight w:val="none"/>
                <w:lang w:val="en-US" w:eastAsia="zh-CN"/>
              </w:rPr>
              <w:t>技术参数全部</w:t>
            </w:r>
            <w:r>
              <w:rPr>
                <w:rFonts w:hint="eastAsia" w:ascii="宋体" w:hAnsi="宋体" w:eastAsia="宋体" w:cs="宋体"/>
                <w:color w:val="auto"/>
                <w:kern w:val="2"/>
                <w:sz w:val="24"/>
                <w:szCs w:val="24"/>
                <w:highlight w:val="none"/>
              </w:rPr>
              <w:t>满足招标文件的要求的</w:t>
            </w:r>
            <w:r>
              <w:rPr>
                <w:rFonts w:hint="eastAsia" w:ascii="宋体" w:hAnsi="宋体" w:cs="宋体"/>
                <w:color w:val="auto"/>
                <w:kern w:val="2"/>
                <w:sz w:val="24"/>
                <w:szCs w:val="24"/>
                <w:highlight w:val="none"/>
                <w:lang w:val="en-US" w:eastAsia="zh-CN"/>
              </w:rPr>
              <w:t>得20</w:t>
            </w:r>
            <w:r>
              <w:rPr>
                <w:rFonts w:hint="eastAsia" w:ascii="宋体" w:hAnsi="宋体" w:eastAsia="宋体" w:cs="宋体"/>
                <w:color w:val="auto"/>
                <w:kern w:val="2"/>
                <w:sz w:val="24"/>
                <w:szCs w:val="24"/>
                <w:highlight w:val="none"/>
              </w:rPr>
              <w:t>分。</w:t>
            </w:r>
            <w:r>
              <w:rPr>
                <w:rFonts w:hint="eastAsia" w:ascii="宋体" w:hAnsi="宋体" w:cs="宋体"/>
                <w:color w:val="auto"/>
                <w:kern w:val="2"/>
                <w:sz w:val="24"/>
                <w:szCs w:val="24"/>
                <w:highlight w:val="none"/>
                <w:lang w:val="en-US" w:eastAsia="zh-CN"/>
              </w:rPr>
              <w:t>每有1项负偏离，扣1分，扣完为止。其中</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项为实质性要求，不满足视为无效投标。</w:t>
            </w:r>
          </w:p>
        </w:tc>
      </w:tr>
      <w:tr w14:paraId="503D0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8" w:hRule="atLeast"/>
        </w:trPr>
        <w:tc>
          <w:tcPr>
            <w:tcW w:w="1869" w:type="dxa"/>
            <w:gridSpan w:val="2"/>
            <w:vMerge w:val="restart"/>
            <w:tcBorders>
              <w:top w:val="single" w:color="auto" w:sz="6" w:space="0"/>
            </w:tcBorders>
            <w:noWrap w:val="0"/>
            <w:vAlign w:val="center"/>
          </w:tcPr>
          <w:p w14:paraId="418BB5F9">
            <w:pPr>
              <w:autoSpaceDE w:val="0"/>
              <w:autoSpaceDN w:val="0"/>
              <w:adjustRightInd w:val="0"/>
              <w:spacing w:line="380" w:lineRule="exact"/>
              <w:jc w:val="center"/>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2.2.4</w:t>
            </w:r>
          </w:p>
        </w:tc>
        <w:tc>
          <w:tcPr>
            <w:tcW w:w="3550" w:type="dxa"/>
            <w:vMerge w:val="restart"/>
            <w:tcBorders>
              <w:top w:val="single" w:color="auto" w:sz="6" w:space="0"/>
            </w:tcBorders>
            <w:noWrap w:val="0"/>
            <w:vAlign w:val="center"/>
          </w:tcPr>
          <w:p w14:paraId="662C2413">
            <w:pPr>
              <w:autoSpaceDE w:val="0"/>
              <w:autoSpaceDN w:val="0"/>
              <w:adjustRightInd w:val="0"/>
              <w:snapToGrid w:val="0"/>
              <w:spacing w:line="380" w:lineRule="exact"/>
              <w:jc w:val="center"/>
              <w:rPr>
                <w:rFonts w:hint="eastAsia" w:ascii="宋体" w:hAnsi="宋体" w:eastAsia="宋体" w:cs="宋体"/>
                <w:b/>
                <w:color w:val="auto"/>
                <w:kern w:val="0"/>
                <w:sz w:val="24"/>
                <w:szCs w:val="24"/>
                <w:highlight w:val="none"/>
              </w:rPr>
            </w:pPr>
            <w:r>
              <w:rPr>
                <w:rFonts w:hint="eastAsia" w:ascii="宋体" w:hAnsi="宋体" w:cs="宋体"/>
                <w:color w:val="auto"/>
                <w:kern w:val="2"/>
                <w:sz w:val="24"/>
                <w:szCs w:val="24"/>
                <w:highlight w:val="none"/>
                <w:lang w:val="en-US" w:eastAsia="zh-CN" w:bidi="ar-SA"/>
              </w:rPr>
              <w:t>实施方案（40分）</w:t>
            </w:r>
          </w:p>
        </w:tc>
        <w:tc>
          <w:tcPr>
            <w:tcW w:w="4893" w:type="dxa"/>
            <w:tcBorders>
              <w:top w:val="single" w:color="auto" w:sz="6" w:space="0"/>
              <w:bottom w:val="single" w:color="auto" w:sz="6" w:space="0"/>
            </w:tcBorders>
            <w:noWrap w:val="0"/>
            <w:vAlign w:val="center"/>
          </w:tcPr>
          <w:p w14:paraId="113FD73A">
            <w:pPr>
              <w:numPr>
                <w:ilvl w:val="0"/>
                <w:numId w:val="0"/>
              </w:numPr>
              <w:autoSpaceDE w:val="0"/>
              <w:autoSpaceDN w:val="0"/>
              <w:adjustRightInd w:val="0"/>
              <w:snapToGrid w:val="0"/>
              <w:spacing w:line="380" w:lineRule="exact"/>
              <w:jc w:val="left"/>
              <w:rPr>
                <w:rFonts w:hint="default"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SA"/>
              </w:rPr>
              <w:t>培训要求</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p w14:paraId="65A4408B">
            <w:pPr>
              <w:autoSpaceDE w:val="0"/>
              <w:autoSpaceDN w:val="0"/>
              <w:adjustRightInd w:val="0"/>
              <w:snapToGrid w:val="0"/>
              <w:spacing w:line="380" w:lineRule="exact"/>
              <w:jc w:val="left"/>
              <w:rPr>
                <w:rFonts w:hint="eastAsia" w:ascii="宋体" w:hAnsi="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针对</w:t>
            </w:r>
            <w:r>
              <w:rPr>
                <w:rFonts w:hint="eastAsia" w:ascii="宋体" w:hAnsi="宋体" w:cs="宋体"/>
                <w:color w:val="auto"/>
                <w:kern w:val="2"/>
                <w:sz w:val="24"/>
                <w:szCs w:val="24"/>
                <w:highlight w:val="none"/>
                <w:lang w:val="en-US" w:eastAsia="zh-CN" w:bidi="ar"/>
              </w:rPr>
              <w:t>设备原理、操作规程、维护保养和故障排除等培训方案：</w:t>
            </w:r>
          </w:p>
          <w:p w14:paraId="77EDE1F2">
            <w:pPr>
              <w:numPr>
                <w:ilvl w:val="0"/>
                <w:numId w:val="4"/>
              </w:numPr>
              <w:autoSpaceDE w:val="0"/>
              <w:autoSpaceDN w:val="0"/>
              <w:adjustRightInd w:val="0"/>
              <w:snapToGrid w:val="0"/>
              <w:spacing w:line="380" w:lineRule="exact"/>
              <w:jc w:val="left"/>
              <w:rPr>
                <w:rFonts w:hint="eastAsia"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方案全面、具体、可行得10分。</w:t>
            </w:r>
          </w:p>
          <w:p w14:paraId="3793835F">
            <w:pPr>
              <w:numPr>
                <w:ilvl w:val="0"/>
                <w:numId w:val="4"/>
              </w:numPr>
              <w:autoSpaceDE w:val="0"/>
              <w:autoSpaceDN w:val="0"/>
              <w:adjustRightInd w:val="0"/>
              <w:snapToGrid w:val="0"/>
              <w:spacing w:line="380" w:lineRule="exact"/>
              <w:jc w:val="left"/>
              <w:rPr>
                <w:rFonts w:hint="default"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方案较为全面、具体、可行得8分。</w:t>
            </w:r>
          </w:p>
          <w:p w14:paraId="58D1A42A">
            <w:pPr>
              <w:numPr>
                <w:ilvl w:val="0"/>
                <w:numId w:val="4"/>
              </w:numPr>
              <w:autoSpaceDE w:val="0"/>
              <w:autoSpaceDN w:val="0"/>
              <w:adjustRightInd w:val="0"/>
              <w:snapToGrid w:val="0"/>
              <w:spacing w:line="380" w:lineRule="exact"/>
              <w:jc w:val="left"/>
              <w:rPr>
                <w:rFonts w:hint="default"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方案不够全面、具体、可行得4分。</w:t>
            </w:r>
          </w:p>
          <w:p w14:paraId="22B44861">
            <w:pPr>
              <w:numPr>
                <w:ilvl w:val="0"/>
                <w:numId w:val="0"/>
              </w:numPr>
              <w:autoSpaceDE w:val="0"/>
              <w:autoSpaceDN w:val="0"/>
              <w:adjustRightInd w:val="0"/>
              <w:snapToGrid w:val="0"/>
              <w:spacing w:line="380" w:lineRule="exact"/>
              <w:jc w:val="left"/>
              <w:rPr>
                <w:rFonts w:hint="eastAsia" w:ascii="宋体" w:hAnsi="宋体" w:eastAsia="宋体" w:cs="宋体"/>
                <w:b/>
                <w:color w:val="auto"/>
                <w:kern w:val="0"/>
                <w:sz w:val="24"/>
                <w:szCs w:val="24"/>
                <w:highlight w:val="none"/>
              </w:rPr>
            </w:pPr>
            <w:r>
              <w:rPr>
                <w:rFonts w:hint="eastAsia" w:ascii="宋体" w:hAnsi="宋体" w:cs="宋体"/>
                <w:color w:val="auto"/>
                <w:kern w:val="2"/>
                <w:sz w:val="24"/>
                <w:szCs w:val="24"/>
                <w:highlight w:val="none"/>
                <w:lang w:val="en-US" w:eastAsia="zh-CN" w:bidi="ar"/>
              </w:rPr>
              <w:t>（4）不提供不得分。</w:t>
            </w:r>
          </w:p>
        </w:tc>
      </w:tr>
      <w:tr w14:paraId="10CF5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869" w:type="dxa"/>
            <w:gridSpan w:val="2"/>
            <w:vMerge w:val="continue"/>
            <w:noWrap w:val="0"/>
            <w:vAlign w:val="center"/>
          </w:tcPr>
          <w:p w14:paraId="49B99F48">
            <w:pPr>
              <w:autoSpaceDE w:val="0"/>
              <w:autoSpaceDN w:val="0"/>
              <w:adjustRightInd w:val="0"/>
              <w:spacing w:line="380" w:lineRule="exact"/>
              <w:jc w:val="center"/>
              <w:rPr>
                <w:rFonts w:hint="eastAsia" w:ascii="宋体" w:hAnsi="宋体" w:cs="宋体"/>
                <w:b/>
                <w:color w:val="auto"/>
                <w:kern w:val="0"/>
                <w:sz w:val="24"/>
                <w:szCs w:val="24"/>
                <w:highlight w:val="none"/>
                <w:lang w:val="en-US" w:eastAsia="zh-CN"/>
              </w:rPr>
            </w:pPr>
          </w:p>
        </w:tc>
        <w:tc>
          <w:tcPr>
            <w:tcW w:w="3550" w:type="dxa"/>
            <w:vMerge w:val="continue"/>
            <w:noWrap w:val="0"/>
            <w:vAlign w:val="center"/>
          </w:tcPr>
          <w:p w14:paraId="618A5AD0">
            <w:pPr>
              <w:autoSpaceDE w:val="0"/>
              <w:autoSpaceDN w:val="0"/>
              <w:adjustRightInd w:val="0"/>
              <w:snapToGrid w:val="0"/>
              <w:spacing w:line="380" w:lineRule="exact"/>
              <w:jc w:val="center"/>
              <w:rPr>
                <w:rFonts w:hint="eastAsia" w:ascii="宋体" w:hAnsi="宋体" w:cs="宋体"/>
                <w:color w:val="auto"/>
                <w:kern w:val="2"/>
                <w:sz w:val="24"/>
                <w:szCs w:val="24"/>
                <w:highlight w:val="none"/>
                <w:lang w:val="en-US" w:eastAsia="zh-CN" w:bidi="ar-SA"/>
              </w:rPr>
            </w:pPr>
          </w:p>
        </w:tc>
        <w:tc>
          <w:tcPr>
            <w:tcW w:w="4893" w:type="dxa"/>
            <w:tcBorders>
              <w:top w:val="single" w:color="auto" w:sz="6" w:space="0"/>
              <w:bottom w:val="single" w:color="auto" w:sz="6" w:space="0"/>
            </w:tcBorders>
            <w:noWrap w:val="0"/>
            <w:vAlign w:val="center"/>
          </w:tcPr>
          <w:p w14:paraId="42FCF4A1">
            <w:pPr>
              <w:numPr>
                <w:ilvl w:val="0"/>
                <w:numId w:val="0"/>
              </w:numPr>
              <w:autoSpaceDE w:val="0"/>
              <w:autoSpaceDN w:val="0"/>
              <w:adjustRightInd w:val="0"/>
              <w:snapToGrid w:val="0"/>
              <w:spacing w:line="380" w:lineRule="exact"/>
              <w:jc w:val="left"/>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2.供货方案（10分）</w:t>
            </w:r>
          </w:p>
          <w:p w14:paraId="468CEF62">
            <w:pPr>
              <w:numPr>
                <w:ilvl w:val="0"/>
                <w:numId w:val="0"/>
              </w:numPr>
              <w:autoSpaceDE w:val="0"/>
              <w:autoSpaceDN w:val="0"/>
              <w:adjustRightInd w:val="0"/>
              <w:snapToGrid w:val="0"/>
              <w:spacing w:line="380" w:lineRule="exact"/>
              <w:jc w:val="left"/>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针对供货进度、保障措施和应急方案等供货方案：</w:t>
            </w:r>
          </w:p>
          <w:p w14:paraId="4BB79D0B">
            <w:pPr>
              <w:numPr>
                <w:ilvl w:val="0"/>
                <w:numId w:val="5"/>
              </w:numPr>
              <w:autoSpaceDE w:val="0"/>
              <w:autoSpaceDN w:val="0"/>
              <w:adjustRightInd w:val="0"/>
              <w:snapToGrid w:val="0"/>
              <w:spacing w:line="380" w:lineRule="exact"/>
              <w:jc w:val="left"/>
              <w:rPr>
                <w:rFonts w:hint="eastAsia"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方案全面、具体、可行得10分。</w:t>
            </w:r>
          </w:p>
          <w:p w14:paraId="1665354C">
            <w:pPr>
              <w:numPr>
                <w:ilvl w:val="0"/>
                <w:numId w:val="5"/>
              </w:numPr>
              <w:autoSpaceDE w:val="0"/>
              <w:autoSpaceDN w:val="0"/>
              <w:adjustRightInd w:val="0"/>
              <w:snapToGrid w:val="0"/>
              <w:spacing w:line="380" w:lineRule="exact"/>
              <w:jc w:val="left"/>
              <w:rPr>
                <w:rFonts w:hint="default"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方案较为全面、具体、可行得8分。</w:t>
            </w:r>
          </w:p>
          <w:p w14:paraId="389CA4DA">
            <w:pPr>
              <w:numPr>
                <w:ilvl w:val="0"/>
                <w:numId w:val="5"/>
              </w:numPr>
              <w:autoSpaceDE w:val="0"/>
              <w:autoSpaceDN w:val="0"/>
              <w:adjustRightInd w:val="0"/>
              <w:snapToGrid w:val="0"/>
              <w:spacing w:line="380" w:lineRule="exact"/>
              <w:jc w:val="left"/>
              <w:rPr>
                <w:rFonts w:hint="default"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方案不够全面、具体、可行得4分。</w:t>
            </w:r>
          </w:p>
          <w:p w14:paraId="1718723A">
            <w:pPr>
              <w:numPr>
                <w:ilvl w:val="0"/>
                <w:numId w:val="0"/>
              </w:numPr>
              <w:autoSpaceDE w:val="0"/>
              <w:autoSpaceDN w:val="0"/>
              <w:adjustRightInd w:val="0"/>
              <w:snapToGrid w:val="0"/>
              <w:spacing w:line="380" w:lineRule="exact"/>
              <w:jc w:val="left"/>
              <w:rPr>
                <w:rFonts w:hint="default" w:ascii="宋体" w:hAnsi="宋体" w:eastAsia="宋体" w:cs="宋体"/>
                <w:b/>
                <w:color w:val="auto"/>
                <w:kern w:val="0"/>
                <w:sz w:val="24"/>
                <w:szCs w:val="24"/>
                <w:highlight w:val="none"/>
                <w:lang w:val="en-US" w:eastAsia="zh-CN"/>
              </w:rPr>
            </w:pPr>
            <w:r>
              <w:rPr>
                <w:rFonts w:hint="eastAsia" w:ascii="宋体" w:hAnsi="宋体" w:cs="宋体"/>
                <w:color w:val="auto"/>
                <w:kern w:val="2"/>
                <w:sz w:val="24"/>
                <w:szCs w:val="24"/>
                <w:highlight w:val="none"/>
                <w:lang w:val="en-US" w:eastAsia="zh-CN" w:bidi="ar"/>
              </w:rPr>
              <w:t>（4）不提供不得分。</w:t>
            </w:r>
          </w:p>
        </w:tc>
      </w:tr>
      <w:tr w14:paraId="3C20B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69" w:type="dxa"/>
            <w:gridSpan w:val="2"/>
            <w:vMerge w:val="continue"/>
            <w:noWrap w:val="0"/>
            <w:vAlign w:val="center"/>
          </w:tcPr>
          <w:p w14:paraId="1B0B0DBB">
            <w:pPr>
              <w:autoSpaceDE w:val="0"/>
              <w:autoSpaceDN w:val="0"/>
              <w:adjustRightInd w:val="0"/>
              <w:spacing w:line="380" w:lineRule="exact"/>
              <w:jc w:val="center"/>
              <w:rPr>
                <w:rFonts w:hint="eastAsia" w:ascii="宋体" w:hAnsi="宋体" w:cs="宋体"/>
                <w:b/>
                <w:color w:val="auto"/>
                <w:kern w:val="0"/>
                <w:sz w:val="24"/>
                <w:szCs w:val="24"/>
                <w:highlight w:val="none"/>
                <w:lang w:val="en-US" w:eastAsia="zh-CN"/>
              </w:rPr>
            </w:pPr>
          </w:p>
        </w:tc>
        <w:tc>
          <w:tcPr>
            <w:tcW w:w="3550" w:type="dxa"/>
            <w:vMerge w:val="continue"/>
            <w:noWrap w:val="0"/>
            <w:vAlign w:val="center"/>
          </w:tcPr>
          <w:p w14:paraId="6E411A03">
            <w:pPr>
              <w:autoSpaceDE w:val="0"/>
              <w:autoSpaceDN w:val="0"/>
              <w:adjustRightInd w:val="0"/>
              <w:snapToGrid w:val="0"/>
              <w:spacing w:line="380" w:lineRule="exact"/>
              <w:jc w:val="center"/>
              <w:rPr>
                <w:rFonts w:hint="eastAsia" w:ascii="宋体" w:hAnsi="宋体" w:cs="宋体"/>
                <w:color w:val="auto"/>
                <w:kern w:val="2"/>
                <w:sz w:val="24"/>
                <w:szCs w:val="24"/>
                <w:highlight w:val="none"/>
                <w:lang w:val="en-US" w:eastAsia="zh-CN" w:bidi="ar-SA"/>
              </w:rPr>
            </w:pPr>
          </w:p>
        </w:tc>
        <w:tc>
          <w:tcPr>
            <w:tcW w:w="4893" w:type="dxa"/>
            <w:tcBorders>
              <w:top w:val="single" w:color="auto" w:sz="6" w:space="0"/>
              <w:bottom w:val="single" w:color="auto" w:sz="6" w:space="0"/>
            </w:tcBorders>
            <w:noWrap w:val="0"/>
            <w:vAlign w:val="center"/>
          </w:tcPr>
          <w:p w14:paraId="0E666BA1">
            <w:pPr>
              <w:numPr>
                <w:ilvl w:val="0"/>
                <w:numId w:val="0"/>
              </w:numPr>
              <w:autoSpaceDE w:val="0"/>
              <w:autoSpaceDN w:val="0"/>
              <w:adjustRightInd w:val="0"/>
              <w:snapToGrid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3.质量保障</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p w14:paraId="7CB19EE5">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针对产品选型、设备技术水平、安装调试等质量保证措施：</w:t>
            </w:r>
          </w:p>
          <w:p w14:paraId="2154A535">
            <w:pPr>
              <w:numPr>
                <w:ilvl w:val="0"/>
                <w:numId w:val="6"/>
              </w:numPr>
              <w:autoSpaceDE w:val="0"/>
              <w:autoSpaceDN w:val="0"/>
              <w:adjustRightInd w:val="0"/>
              <w:snapToGrid w:val="0"/>
              <w:spacing w:line="380" w:lineRule="exact"/>
              <w:jc w:val="left"/>
              <w:rPr>
                <w:rFonts w:hint="eastAsia"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全面、科学、具体得10分。</w:t>
            </w:r>
          </w:p>
          <w:p w14:paraId="50C5991D">
            <w:pPr>
              <w:pStyle w:val="27"/>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较为全面、科学、具体得8分。</w:t>
            </w:r>
          </w:p>
          <w:p w14:paraId="6C863F92">
            <w:pPr>
              <w:pStyle w:val="27"/>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不够全面、科学、具体得4分。</w:t>
            </w:r>
          </w:p>
          <w:p w14:paraId="27F18DB4">
            <w:pPr>
              <w:pStyle w:val="27"/>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不提供不得分。</w:t>
            </w:r>
          </w:p>
        </w:tc>
      </w:tr>
      <w:tr w14:paraId="32DA9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869" w:type="dxa"/>
            <w:gridSpan w:val="2"/>
            <w:vMerge w:val="continue"/>
            <w:tcBorders>
              <w:bottom w:val="single" w:color="auto" w:sz="6" w:space="0"/>
            </w:tcBorders>
            <w:noWrap w:val="0"/>
            <w:vAlign w:val="center"/>
          </w:tcPr>
          <w:p w14:paraId="79624680">
            <w:pPr>
              <w:autoSpaceDE w:val="0"/>
              <w:autoSpaceDN w:val="0"/>
              <w:adjustRightInd w:val="0"/>
              <w:spacing w:line="380" w:lineRule="exact"/>
              <w:jc w:val="center"/>
              <w:rPr>
                <w:rFonts w:hint="eastAsia" w:ascii="宋体" w:hAnsi="宋体" w:cs="宋体"/>
                <w:b/>
                <w:color w:val="auto"/>
                <w:kern w:val="0"/>
                <w:sz w:val="24"/>
                <w:szCs w:val="24"/>
                <w:highlight w:val="none"/>
                <w:lang w:val="en-US" w:eastAsia="zh-CN"/>
              </w:rPr>
            </w:pPr>
          </w:p>
        </w:tc>
        <w:tc>
          <w:tcPr>
            <w:tcW w:w="3550" w:type="dxa"/>
            <w:vMerge w:val="continue"/>
            <w:tcBorders>
              <w:bottom w:val="single" w:color="auto" w:sz="6" w:space="0"/>
            </w:tcBorders>
            <w:noWrap w:val="0"/>
            <w:vAlign w:val="center"/>
          </w:tcPr>
          <w:p w14:paraId="2E549EE6">
            <w:pPr>
              <w:autoSpaceDE w:val="0"/>
              <w:autoSpaceDN w:val="0"/>
              <w:adjustRightInd w:val="0"/>
              <w:snapToGrid w:val="0"/>
              <w:spacing w:line="380" w:lineRule="exact"/>
              <w:jc w:val="center"/>
              <w:rPr>
                <w:rFonts w:hint="eastAsia" w:ascii="宋体" w:hAnsi="宋体" w:cs="宋体"/>
                <w:color w:val="auto"/>
                <w:kern w:val="2"/>
                <w:sz w:val="24"/>
                <w:szCs w:val="24"/>
                <w:highlight w:val="none"/>
                <w:lang w:val="en-US" w:eastAsia="zh-CN" w:bidi="ar-SA"/>
              </w:rPr>
            </w:pPr>
          </w:p>
        </w:tc>
        <w:tc>
          <w:tcPr>
            <w:tcW w:w="4893" w:type="dxa"/>
            <w:tcBorders>
              <w:top w:val="single" w:color="auto" w:sz="6" w:space="0"/>
              <w:bottom w:val="single" w:color="auto" w:sz="6" w:space="0"/>
            </w:tcBorders>
            <w:noWrap w:val="0"/>
            <w:vAlign w:val="center"/>
          </w:tcPr>
          <w:p w14:paraId="45597E5A">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4.售后服务措施</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p w14:paraId="6F77E7B6">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针对质保期内、质保期外服务措施和应急方案等售后服务措施：</w:t>
            </w:r>
          </w:p>
          <w:p w14:paraId="48987EE9">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（1）全面、具体、可行得10分。</w:t>
            </w:r>
          </w:p>
          <w:p w14:paraId="02BA2E63">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（2）较为全面、具体、可行得8分。</w:t>
            </w:r>
          </w:p>
          <w:p w14:paraId="4248A3CE">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（3）不够全面、具体、可行得4分。</w:t>
            </w:r>
          </w:p>
          <w:p w14:paraId="63214965">
            <w:pPr>
              <w:pStyle w:val="2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（4）不提供不得分。</w:t>
            </w:r>
          </w:p>
        </w:tc>
      </w:tr>
      <w:tr w14:paraId="1881E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869" w:type="dxa"/>
            <w:gridSpan w:val="2"/>
            <w:tcBorders>
              <w:top w:val="single" w:color="auto" w:sz="6" w:space="0"/>
              <w:bottom w:val="single" w:color="auto" w:sz="6" w:space="0"/>
            </w:tcBorders>
            <w:noWrap w:val="0"/>
            <w:vAlign w:val="center"/>
          </w:tcPr>
          <w:p w14:paraId="65CABCA7">
            <w:pPr>
              <w:autoSpaceDE w:val="0"/>
              <w:autoSpaceDN w:val="0"/>
              <w:adjustRightInd w:val="0"/>
              <w:spacing w:line="380" w:lineRule="exact"/>
              <w:jc w:val="center"/>
              <w:rPr>
                <w:rFonts w:hint="default" w:ascii="宋体" w:hAnsi="宋体" w:eastAsia="宋体" w:cs="宋体"/>
                <w:b/>
                <w:color w:val="auto"/>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2.2.5</w:t>
            </w:r>
          </w:p>
        </w:tc>
        <w:tc>
          <w:tcPr>
            <w:tcW w:w="3550" w:type="dxa"/>
            <w:tcBorders>
              <w:top w:val="single" w:color="auto" w:sz="6" w:space="0"/>
              <w:bottom w:val="single" w:color="auto" w:sz="6" w:space="0"/>
            </w:tcBorders>
            <w:shd w:val="clear" w:color="auto" w:fill="auto"/>
            <w:noWrap w:val="0"/>
            <w:vAlign w:val="center"/>
          </w:tcPr>
          <w:p w14:paraId="505147E7">
            <w:pPr>
              <w:autoSpaceDE w:val="0"/>
              <w:autoSpaceDN w:val="0"/>
              <w:adjustRightInd w:val="0"/>
              <w:snapToGrid w:val="0"/>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商务部分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4893" w:type="dxa"/>
            <w:tcBorders>
              <w:top w:val="single" w:color="auto" w:sz="6" w:space="0"/>
              <w:bottom w:val="single" w:color="auto" w:sz="6" w:space="0"/>
            </w:tcBorders>
            <w:shd w:val="clear" w:color="auto" w:fill="auto"/>
            <w:noWrap w:val="0"/>
            <w:vAlign w:val="center"/>
          </w:tcPr>
          <w:p w14:paraId="322229B1">
            <w:pPr>
              <w:pStyle w:val="27"/>
              <w:ind w:left="0" w:leftChars="0" w:firstLine="0" w:firstLineChars="0"/>
              <w:rPr>
                <w:rFonts w:hint="eastAsia" w:ascii="宋体" w:hAnsi="宋体" w:cs="宋体"/>
                <w:color w:val="auto"/>
                <w:kern w:val="2"/>
                <w:sz w:val="24"/>
                <w:szCs w:val="24"/>
                <w:highlight w:val="none"/>
                <w:lang w:val="en-US" w:eastAsia="zh-CN"/>
              </w:rPr>
            </w:pPr>
            <w:r>
              <w:rPr>
                <w:rFonts w:hint="eastAsia" w:ascii="宋体" w:hAnsi="宋体" w:cs="宋体"/>
                <w:color w:val="auto"/>
                <w:sz w:val="24"/>
                <w:szCs w:val="24"/>
                <w:highlight w:val="none"/>
                <w:lang w:val="en-US" w:eastAsia="zh-CN"/>
              </w:rPr>
              <w:t>提供投标人</w:t>
            </w:r>
            <w:r>
              <w:rPr>
                <w:rFonts w:hint="eastAsia" w:ascii="宋体" w:hAnsi="宋体" w:eastAsia="宋体" w:cs="宋体"/>
                <w:color w:val="auto"/>
                <w:sz w:val="24"/>
                <w:szCs w:val="24"/>
                <w:highlight w:val="none"/>
                <w:lang w:val="en-US" w:eastAsia="zh-CN"/>
              </w:rPr>
              <w:t>2022</w:t>
            </w:r>
            <w:r>
              <w:rPr>
                <w:rFonts w:hint="eastAsia" w:ascii="宋体" w:hAnsi="宋体" w:cs="宋体"/>
                <w:color w:val="auto"/>
                <w:sz w:val="24"/>
                <w:szCs w:val="24"/>
                <w:highlight w:val="none"/>
                <w:lang w:val="en-US" w:eastAsia="zh-CN"/>
              </w:rPr>
              <w:t>年1月1日以来</w:t>
            </w:r>
            <w:r>
              <w:rPr>
                <w:rFonts w:hint="eastAsia" w:ascii="宋体" w:hAnsi="宋体" w:eastAsia="宋体" w:cs="宋体"/>
                <w:color w:val="auto"/>
                <w:sz w:val="24"/>
                <w:szCs w:val="24"/>
                <w:highlight w:val="none"/>
                <w:lang w:val="en-US" w:eastAsia="zh-CN"/>
              </w:rPr>
              <w:t>类似</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业绩；每有</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项得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分。（提供合同原件扫描件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否则不得分）</w:t>
            </w:r>
          </w:p>
        </w:tc>
      </w:tr>
    </w:tbl>
    <w:p w14:paraId="114B48CA">
      <w:pPr>
        <w:jc w:val="center"/>
        <w:rPr>
          <w:rFonts w:hint="eastAsia" w:ascii="宋体" w:hAnsi="宋体"/>
          <w:b/>
          <w:color w:val="000000"/>
          <w:sz w:val="24"/>
          <w:szCs w:val="24"/>
          <w:highlight w:val="none"/>
        </w:rPr>
      </w:pPr>
    </w:p>
    <w:p w14:paraId="06308EF5">
      <w:pPr>
        <w:jc w:val="center"/>
        <w:rPr>
          <w:rFonts w:hint="eastAsia" w:ascii="宋体" w:hAnsi="宋体"/>
          <w:b/>
          <w:color w:val="000000"/>
          <w:sz w:val="24"/>
          <w:szCs w:val="24"/>
          <w:highlight w:val="none"/>
        </w:rPr>
      </w:pPr>
    </w:p>
    <w:p w14:paraId="7361DC8F">
      <w:pPr>
        <w:rPr>
          <w:rFonts w:hint="eastAsia" w:ascii="宋体" w:hAnsi="宋体"/>
          <w:b/>
          <w:color w:val="000000"/>
          <w:sz w:val="24"/>
          <w:szCs w:val="24"/>
          <w:highlight w:val="none"/>
        </w:rPr>
      </w:pPr>
      <w:r>
        <w:rPr>
          <w:rFonts w:hint="eastAsia" w:ascii="宋体" w:hAnsi="宋体"/>
          <w:b/>
          <w:color w:val="000000"/>
          <w:sz w:val="24"/>
          <w:szCs w:val="24"/>
          <w:highlight w:val="none"/>
        </w:rPr>
        <w:br w:type="page"/>
      </w:r>
    </w:p>
    <w:p w14:paraId="110BA00D">
      <w:pPr>
        <w:jc w:val="center"/>
        <w:rPr>
          <w:rFonts w:hint="eastAsia" w:ascii="宋体" w:hAnsi="宋体"/>
          <w:color w:val="000000"/>
          <w:sz w:val="24"/>
          <w:szCs w:val="24"/>
          <w:highlight w:val="none"/>
        </w:rPr>
      </w:pPr>
      <w:r>
        <w:rPr>
          <w:rFonts w:hint="eastAsia" w:ascii="宋体" w:hAnsi="宋体"/>
          <w:b/>
          <w:color w:val="000000"/>
          <w:sz w:val="24"/>
          <w:szCs w:val="24"/>
          <w:highlight w:val="none"/>
        </w:rPr>
        <w:t>评标办法</w:t>
      </w:r>
    </w:p>
    <w:p w14:paraId="67B9C6D3">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val="en-US" w:eastAsia="zh-CN" w:bidi="ar"/>
        </w:rPr>
        <w:t xml:space="preserve">1．评标方法 </w:t>
      </w:r>
    </w:p>
    <w:p w14:paraId="3734C0D6">
      <w:pPr>
        <w:autoSpaceDE w:val="0"/>
        <w:autoSpaceDN w:val="0"/>
        <w:adjustRightInd w:val="0"/>
        <w:snapToGrid w:val="0"/>
        <w:spacing w:line="38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本次评标采用综合评分法。</w:t>
      </w:r>
      <w:r>
        <w:rPr>
          <w:rFonts w:hint="eastAsia" w:ascii="宋体" w:hAnsi="宋体" w:cs="宋体"/>
          <w:kern w:val="2"/>
          <w:sz w:val="24"/>
          <w:szCs w:val="24"/>
          <w:highlight w:val="none"/>
          <w:lang w:val="en-US" w:eastAsia="zh-CN" w:bidi="ar-SA"/>
        </w:rPr>
        <w:t>评标委员会</w:t>
      </w:r>
      <w:r>
        <w:rPr>
          <w:rFonts w:hint="eastAsia" w:ascii="宋体" w:hAnsi="宋体" w:eastAsia="宋体" w:cs="宋体"/>
          <w:kern w:val="2"/>
          <w:sz w:val="24"/>
          <w:szCs w:val="24"/>
          <w:highlight w:val="none"/>
          <w:lang w:val="en-US" w:eastAsia="zh-CN" w:bidi="ar-SA"/>
        </w:rPr>
        <w:t xml:space="preserve">对通过资格审查且满足招标文件实质性要求的投标文件，按照本章第 2.2 款规定的评分标准进行打分，并按得分由高到低顺序推荐中标候选人。综合评分相等时，以投标报价低的优先；投标报价也相等的，由采购人自行确定。 </w:t>
      </w:r>
    </w:p>
    <w:p w14:paraId="3FEBCC1D">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2．评审标准 </w:t>
      </w:r>
    </w:p>
    <w:p w14:paraId="53E3F447">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2.1 初步评审标准 </w:t>
      </w:r>
    </w:p>
    <w:p w14:paraId="76416CF0">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2.1.1 形式评审标准：见评标办法前附表。 </w:t>
      </w:r>
    </w:p>
    <w:p w14:paraId="0211D58F">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2.1.2 资格评审标准：见评标办法前附表。 </w:t>
      </w:r>
    </w:p>
    <w:p w14:paraId="27648FE1">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2.1.3 响应性评审标准：见评标办法前附表。 </w:t>
      </w:r>
    </w:p>
    <w:p w14:paraId="56601F77">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2.2 分值构成与评分标准 </w:t>
      </w:r>
    </w:p>
    <w:p w14:paraId="3608BC10">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2.2.1 分值构成 </w:t>
      </w:r>
    </w:p>
    <w:p w14:paraId="4D9BA78C">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 xml:space="preserve">报价部分：见评标办法； </w:t>
      </w:r>
    </w:p>
    <w:p w14:paraId="22415BD7">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 xml:space="preserve">技术部分：见评标办法； </w:t>
      </w:r>
    </w:p>
    <w:p w14:paraId="6083CB0F">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实施方案部分：见评标办法；</w:t>
      </w:r>
    </w:p>
    <w:p w14:paraId="0405596C">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（4）商务部分：见评标办法； </w:t>
      </w:r>
    </w:p>
    <w:p w14:paraId="5AA18BCF">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2.2.2 评标基准价计算 </w:t>
      </w:r>
    </w:p>
    <w:p w14:paraId="749E8195">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评标基准价计算方法：评标基准价计算公式见评标办法前。 </w:t>
      </w:r>
    </w:p>
    <w:p w14:paraId="72983E50">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2.2.3 评分标准 </w:t>
      </w:r>
    </w:p>
    <w:p w14:paraId="45D1FE66">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 xml:space="preserve">报价部分：见评标办法； </w:t>
      </w:r>
    </w:p>
    <w:p w14:paraId="46F7FC96">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 xml:space="preserve">技术部分：见评标办法； </w:t>
      </w:r>
    </w:p>
    <w:p w14:paraId="3BE550E9">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实施方案部分：见评标办法；</w:t>
      </w:r>
    </w:p>
    <w:p w14:paraId="69C734CF">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（4）商务部分：见评标办法；  </w:t>
      </w:r>
    </w:p>
    <w:p w14:paraId="1524D757">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3．评标程序 </w:t>
      </w:r>
    </w:p>
    <w:p w14:paraId="5A9564DE">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3.1 初步评审 </w:t>
      </w:r>
    </w:p>
    <w:p w14:paraId="53C370CD">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3.1.1 </w:t>
      </w:r>
      <w:r>
        <w:rPr>
          <w:rFonts w:hint="eastAsia" w:ascii="宋体" w:hAnsi="宋体" w:cs="宋体"/>
          <w:kern w:val="2"/>
          <w:sz w:val="24"/>
          <w:szCs w:val="24"/>
          <w:highlight w:val="none"/>
          <w:lang w:val="en-US" w:eastAsia="zh-CN" w:bidi="ar-SA"/>
        </w:rPr>
        <w:t>评标委员会</w:t>
      </w:r>
      <w:r>
        <w:rPr>
          <w:rFonts w:hint="eastAsia" w:ascii="宋体" w:hAnsi="宋体" w:eastAsia="宋体" w:cs="宋体"/>
          <w:kern w:val="2"/>
          <w:sz w:val="24"/>
          <w:szCs w:val="24"/>
          <w:highlight w:val="none"/>
          <w:lang w:val="en-US" w:eastAsia="zh-CN" w:bidi="ar-SA"/>
        </w:rPr>
        <w:t>依据本章第 2.1款规定的标准对投标文件进行初步评审。有一项不符合评审标准的，作废标处理。</w:t>
      </w:r>
    </w:p>
    <w:p w14:paraId="5E428A57">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3.1.2 供应商有以下情形之一的，其投标作废标处理： </w:t>
      </w:r>
    </w:p>
    <w:p w14:paraId="5F0E7739">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(1）串通投标或弄虚作假或有其他违法行为的； </w:t>
      </w:r>
    </w:p>
    <w:p w14:paraId="6A350477">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(2）不按</w:t>
      </w:r>
      <w:r>
        <w:rPr>
          <w:rFonts w:hint="eastAsia" w:ascii="宋体" w:hAnsi="宋体" w:cs="宋体"/>
          <w:kern w:val="2"/>
          <w:sz w:val="24"/>
          <w:szCs w:val="24"/>
          <w:highlight w:val="none"/>
          <w:lang w:val="en-US" w:eastAsia="zh-CN" w:bidi="ar-SA"/>
        </w:rPr>
        <w:t>评标委员会</w:t>
      </w:r>
      <w:r>
        <w:rPr>
          <w:rFonts w:hint="eastAsia" w:ascii="宋体" w:hAnsi="宋体" w:eastAsia="宋体" w:cs="宋体"/>
          <w:kern w:val="2"/>
          <w:sz w:val="24"/>
          <w:szCs w:val="24"/>
          <w:highlight w:val="none"/>
          <w:lang w:val="en-US" w:eastAsia="zh-CN" w:bidi="ar-SA"/>
        </w:rPr>
        <w:t xml:space="preserve">要求澄清、说明或补正的； </w:t>
      </w:r>
    </w:p>
    <w:p w14:paraId="707FA9D8">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(3）投标总报价高于采购控制价的。 </w:t>
      </w:r>
    </w:p>
    <w:p w14:paraId="6C536F3C">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3.1.3 投标报价有算术错误的，</w:t>
      </w:r>
      <w:r>
        <w:rPr>
          <w:rFonts w:hint="eastAsia" w:ascii="宋体" w:hAnsi="宋体" w:cs="宋体"/>
          <w:kern w:val="2"/>
          <w:sz w:val="24"/>
          <w:szCs w:val="24"/>
          <w:highlight w:val="none"/>
          <w:lang w:val="en-US" w:eastAsia="zh-CN" w:bidi="ar-SA"/>
        </w:rPr>
        <w:t>评标委员会</w:t>
      </w:r>
      <w:r>
        <w:rPr>
          <w:rFonts w:hint="eastAsia" w:ascii="宋体" w:hAnsi="宋体" w:eastAsia="宋体" w:cs="宋体"/>
          <w:kern w:val="2"/>
          <w:sz w:val="24"/>
          <w:szCs w:val="24"/>
          <w:highlight w:val="none"/>
          <w:lang w:val="en-US" w:eastAsia="zh-CN" w:bidi="ar-SA"/>
        </w:rPr>
        <w:t xml:space="preserve">按以下原则对投标报价进行修正，修正的价格经供应商书面确认后具有约束力。供应商不接受修正价格的，其投标作废标处理。 </w:t>
      </w:r>
    </w:p>
    <w:p w14:paraId="51FBAEE9">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(1）投标文件中的大写金额与小写金额不一致的，以大写金额为准； </w:t>
      </w:r>
    </w:p>
    <w:p w14:paraId="6062D0EA">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(2）总价金额与依据单价计算出的结果不一致的，以单价金额为准修正总价，但单价金额小数点有明显错误的除外。 </w:t>
      </w:r>
    </w:p>
    <w:p w14:paraId="261480D1">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3.2 详细评审 </w:t>
      </w:r>
    </w:p>
    <w:p w14:paraId="58E4783F">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3.2.1 </w:t>
      </w:r>
      <w:r>
        <w:rPr>
          <w:rFonts w:hint="eastAsia" w:ascii="宋体" w:hAnsi="宋体" w:cs="宋体"/>
          <w:kern w:val="2"/>
          <w:sz w:val="24"/>
          <w:szCs w:val="24"/>
          <w:highlight w:val="none"/>
          <w:lang w:val="en-US" w:eastAsia="zh-CN" w:bidi="ar-SA"/>
        </w:rPr>
        <w:t>评标委员会</w:t>
      </w:r>
      <w:r>
        <w:rPr>
          <w:rFonts w:hint="eastAsia" w:ascii="宋体" w:hAnsi="宋体" w:eastAsia="宋体" w:cs="宋体"/>
          <w:kern w:val="2"/>
          <w:sz w:val="24"/>
          <w:szCs w:val="24"/>
          <w:highlight w:val="none"/>
          <w:lang w:val="en-US" w:eastAsia="zh-CN" w:bidi="ar-SA"/>
        </w:rPr>
        <w:t xml:space="preserve">按本章第 2.2 款规定的量化因素和分值进行打分，并计算出综合评估得分。 </w:t>
      </w:r>
    </w:p>
    <w:p w14:paraId="5DAC69D2">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(1）按本章第 2.2.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 xml:space="preserve"> 目规定的评审因素和分值对报价部分计算出得分 A； </w:t>
      </w:r>
    </w:p>
    <w:p w14:paraId="62A719AF">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(2）按本章第 2.2.</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 xml:space="preserve"> 目规定的评审因素和分值对技术部分计算出得分 B； </w:t>
      </w:r>
    </w:p>
    <w:p w14:paraId="30468AC6">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(3）按本章第 2.2.</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 xml:space="preserve">目规定的评审因素和分值对综合部分计算出得分 C； </w:t>
      </w:r>
    </w:p>
    <w:p w14:paraId="4CD84B32">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(3）按本章第 2.2.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 xml:space="preserve">目规定的评审因素和分值对综合部分计算出得分 </w:t>
      </w:r>
      <w:r>
        <w:rPr>
          <w:rFonts w:hint="eastAsia" w:ascii="宋体" w:hAnsi="宋体" w:cs="宋体"/>
          <w:kern w:val="2"/>
          <w:sz w:val="24"/>
          <w:szCs w:val="24"/>
          <w:highlight w:val="none"/>
          <w:lang w:val="en-US" w:eastAsia="zh-CN" w:bidi="ar-SA"/>
        </w:rPr>
        <w:t>D</w:t>
      </w:r>
      <w:r>
        <w:rPr>
          <w:rFonts w:hint="eastAsia" w:ascii="宋体" w:hAnsi="宋体" w:eastAsia="宋体" w:cs="宋体"/>
          <w:kern w:val="2"/>
          <w:sz w:val="24"/>
          <w:szCs w:val="24"/>
          <w:highlight w:val="none"/>
          <w:lang w:val="en-US" w:eastAsia="zh-CN" w:bidi="ar-SA"/>
        </w:rPr>
        <w:t>；</w:t>
      </w:r>
    </w:p>
    <w:p w14:paraId="7EFE1E5A">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3.2.2 评分分值最终计算结果保留小数点后两位，小数点后第三位“四舍五入”。 </w:t>
      </w:r>
    </w:p>
    <w:p w14:paraId="073ED3D3">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3.2.3 供应商得分＝A 十B 十C</w:t>
      </w:r>
      <w:r>
        <w:rPr>
          <w:rFonts w:hint="eastAsia" w:ascii="宋体" w:hAnsi="宋体" w:cs="宋体"/>
          <w:kern w:val="2"/>
          <w:sz w:val="24"/>
          <w:szCs w:val="24"/>
          <w:highlight w:val="none"/>
          <w:lang w:val="en-US" w:eastAsia="zh-CN" w:bidi="ar-SA"/>
        </w:rPr>
        <w:t>+D</w:t>
      </w:r>
      <w:r>
        <w:rPr>
          <w:rFonts w:hint="eastAsia" w:ascii="宋体" w:hAnsi="宋体" w:eastAsia="宋体" w:cs="宋体"/>
          <w:kern w:val="2"/>
          <w:sz w:val="24"/>
          <w:szCs w:val="24"/>
          <w:highlight w:val="none"/>
          <w:lang w:val="en-US" w:eastAsia="zh-CN" w:bidi="ar-SA"/>
        </w:rPr>
        <w:t xml:space="preserve">； </w:t>
      </w:r>
    </w:p>
    <w:p w14:paraId="638AED75">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3.3 投标文件的澄清和补正 </w:t>
      </w:r>
    </w:p>
    <w:p w14:paraId="123B1226">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3.3.1 在评标过程中，</w:t>
      </w:r>
      <w:r>
        <w:rPr>
          <w:rFonts w:hint="eastAsia" w:ascii="宋体" w:hAnsi="宋体" w:cs="宋体"/>
          <w:kern w:val="2"/>
          <w:sz w:val="24"/>
          <w:szCs w:val="24"/>
          <w:highlight w:val="none"/>
          <w:lang w:val="en-US" w:eastAsia="zh-CN" w:bidi="ar-SA"/>
        </w:rPr>
        <w:t>评标委员会</w:t>
      </w:r>
      <w:r>
        <w:rPr>
          <w:rFonts w:hint="eastAsia" w:ascii="宋体" w:hAnsi="宋体" w:eastAsia="宋体" w:cs="宋体"/>
          <w:kern w:val="2"/>
          <w:sz w:val="24"/>
          <w:szCs w:val="24"/>
          <w:highlight w:val="none"/>
          <w:lang w:val="en-US" w:eastAsia="zh-CN" w:bidi="ar-SA"/>
        </w:rPr>
        <w:t>可以书面形式要求供应商对所提交投标文件中不明确的内容进行书面澄清或说明，或者对细微偏差进行补正。</w:t>
      </w:r>
      <w:r>
        <w:rPr>
          <w:rFonts w:hint="eastAsia" w:ascii="宋体" w:hAnsi="宋体" w:cs="宋体"/>
          <w:kern w:val="2"/>
          <w:sz w:val="24"/>
          <w:szCs w:val="24"/>
          <w:highlight w:val="none"/>
          <w:lang w:val="en-US" w:eastAsia="zh-CN" w:bidi="ar-SA"/>
        </w:rPr>
        <w:t>评标委员会</w:t>
      </w:r>
      <w:r>
        <w:rPr>
          <w:rFonts w:hint="eastAsia" w:ascii="宋体" w:hAnsi="宋体" w:eastAsia="宋体" w:cs="宋体"/>
          <w:kern w:val="2"/>
          <w:sz w:val="24"/>
          <w:szCs w:val="24"/>
          <w:highlight w:val="none"/>
          <w:lang w:val="en-US" w:eastAsia="zh-CN" w:bidi="ar-SA"/>
        </w:rPr>
        <w:t xml:space="preserve">不接受供应商主动提出的澄清、说明或补正。 </w:t>
      </w:r>
    </w:p>
    <w:p w14:paraId="74150D73">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3.3.2 澄清、说明和补正不得改变投标文件的实质性内容（算术性错误修正的除外）。供应商的书面澄清、说明和补正属于投标文件的组成部分。 </w:t>
      </w:r>
    </w:p>
    <w:p w14:paraId="77D5E550">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3.3.3 </w:t>
      </w:r>
      <w:r>
        <w:rPr>
          <w:rFonts w:hint="eastAsia" w:ascii="宋体" w:hAnsi="宋体" w:cs="宋体"/>
          <w:kern w:val="2"/>
          <w:sz w:val="24"/>
          <w:szCs w:val="24"/>
          <w:highlight w:val="none"/>
          <w:lang w:val="en-US" w:eastAsia="zh-CN" w:bidi="ar-SA"/>
        </w:rPr>
        <w:t>评标委员会</w:t>
      </w:r>
      <w:r>
        <w:rPr>
          <w:rFonts w:hint="eastAsia" w:ascii="宋体" w:hAnsi="宋体" w:eastAsia="宋体" w:cs="宋体"/>
          <w:kern w:val="2"/>
          <w:sz w:val="24"/>
          <w:szCs w:val="24"/>
          <w:highlight w:val="none"/>
          <w:lang w:val="en-US" w:eastAsia="zh-CN" w:bidi="ar-SA"/>
        </w:rPr>
        <w:t>对供应商提交的澄清、说明或补正有疑问的，可以要求供应商进一步澄清、说明或补正，直至满足</w:t>
      </w:r>
      <w:r>
        <w:rPr>
          <w:rFonts w:hint="eastAsia" w:ascii="宋体" w:hAnsi="宋体" w:cs="宋体"/>
          <w:kern w:val="2"/>
          <w:sz w:val="24"/>
          <w:szCs w:val="24"/>
          <w:highlight w:val="none"/>
          <w:lang w:val="en-US" w:eastAsia="zh-CN" w:bidi="ar-SA"/>
        </w:rPr>
        <w:t>评标委员会</w:t>
      </w:r>
      <w:r>
        <w:rPr>
          <w:rFonts w:hint="eastAsia" w:ascii="宋体" w:hAnsi="宋体" w:eastAsia="宋体" w:cs="宋体"/>
          <w:kern w:val="2"/>
          <w:sz w:val="24"/>
          <w:szCs w:val="24"/>
          <w:highlight w:val="none"/>
          <w:lang w:val="en-US" w:eastAsia="zh-CN" w:bidi="ar-SA"/>
        </w:rPr>
        <w:t xml:space="preserve">的要求。 </w:t>
      </w:r>
    </w:p>
    <w:p w14:paraId="07E711D5">
      <w:pPr>
        <w:autoSpaceDE w:val="0"/>
        <w:autoSpaceDN w:val="0"/>
        <w:adjustRightInd w:val="0"/>
        <w:snapToGrid w:val="0"/>
        <w:spacing w:line="38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3.4 评标结果 </w:t>
      </w:r>
    </w:p>
    <w:p w14:paraId="0CAB711E">
      <w:pPr>
        <w:pStyle w:val="25"/>
        <w:keepNext w:val="0"/>
        <w:keepLines w:val="0"/>
        <w:widowControl/>
        <w:suppressLineNumbers w:val="0"/>
        <w:spacing w:before="0" w:beforeAutospacing="0" w:after="0" w:afterAutospacing="0" w:line="360" w:lineRule="auto"/>
        <w:ind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3.4.1 </w:t>
      </w:r>
      <w:r>
        <w:rPr>
          <w:rFonts w:hint="eastAsia" w:ascii="宋体" w:hAnsi="宋体" w:cs="宋体"/>
          <w:kern w:val="2"/>
          <w:sz w:val="24"/>
          <w:szCs w:val="24"/>
          <w:highlight w:val="none"/>
          <w:lang w:val="en-US" w:eastAsia="zh-CN" w:bidi="ar-SA"/>
        </w:rPr>
        <w:t>评标委员会</w:t>
      </w:r>
      <w:r>
        <w:rPr>
          <w:rFonts w:hint="eastAsia" w:ascii="宋体" w:hAnsi="宋体" w:eastAsia="宋体" w:cs="宋体"/>
          <w:kern w:val="2"/>
          <w:sz w:val="24"/>
          <w:szCs w:val="24"/>
          <w:highlight w:val="none"/>
          <w:lang w:val="en-US" w:eastAsia="zh-CN" w:bidi="ar-SA"/>
        </w:rPr>
        <w:t>按照得分高到低的顺序推荐3名中标候选人。</w:t>
      </w:r>
    </w:p>
    <w:p w14:paraId="01D6F775">
      <w:pPr>
        <w:pStyle w:val="25"/>
        <w:keepNext w:val="0"/>
        <w:keepLines w:val="0"/>
        <w:widowControl/>
        <w:suppressLineNumbers w:val="0"/>
        <w:spacing w:before="0" w:beforeAutospacing="0" w:after="0" w:afterAutospacing="0" w:line="360" w:lineRule="auto"/>
        <w:ind w:right="0" w:firstLine="720" w:firstLineChars="300"/>
        <w:jc w:val="left"/>
        <w:rPr>
          <w:rFonts w:hint="eastAsia" w:ascii="宋体" w:hAnsi="宋体" w:eastAsia="宋体" w:cs="宋体"/>
          <w:kern w:val="2"/>
          <w:sz w:val="24"/>
          <w:szCs w:val="24"/>
          <w:highlight w:val="none"/>
          <w:lang w:val="en-US" w:eastAsia="zh-CN" w:bidi="ar-SA"/>
        </w:rPr>
      </w:pPr>
      <w:r>
        <w:rPr>
          <w:rFonts w:hint="eastAsia" w:ascii="宋体" w:hAnsi="宋体" w:cs="宋体"/>
          <w:b w:val="0"/>
          <w:bCs w:val="0"/>
          <w:color w:val="000000"/>
          <w:kern w:val="2"/>
          <w:sz w:val="24"/>
          <w:szCs w:val="24"/>
          <w:highlight w:val="none"/>
          <w:lang w:val="en-US" w:eastAsia="zh-CN" w:bidi="ar-SA"/>
        </w:rPr>
        <w:t>在前一标段推荐为中标候选人的，在之后标段继续参与其他标段的评审。</w:t>
      </w:r>
    </w:p>
    <w:p w14:paraId="30649B24">
      <w:pPr>
        <w:autoSpaceDE w:val="0"/>
        <w:autoSpaceDN w:val="0"/>
        <w:adjustRightInd w:val="0"/>
        <w:snapToGrid w:val="0"/>
        <w:spacing w:line="38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3.4.2 </w:t>
      </w:r>
      <w:r>
        <w:rPr>
          <w:rFonts w:hint="eastAsia" w:ascii="宋体" w:hAnsi="宋体" w:cs="宋体"/>
          <w:kern w:val="2"/>
          <w:sz w:val="24"/>
          <w:szCs w:val="24"/>
          <w:highlight w:val="none"/>
          <w:lang w:val="en-US" w:eastAsia="zh-CN" w:bidi="ar-SA"/>
        </w:rPr>
        <w:t>评标委员会</w:t>
      </w:r>
      <w:r>
        <w:rPr>
          <w:rFonts w:hint="eastAsia" w:ascii="宋体" w:hAnsi="宋体" w:eastAsia="宋体" w:cs="宋体"/>
          <w:kern w:val="2"/>
          <w:sz w:val="24"/>
          <w:szCs w:val="24"/>
          <w:highlight w:val="none"/>
          <w:lang w:val="en-US" w:eastAsia="zh-CN" w:bidi="ar-SA"/>
        </w:rPr>
        <w:t>完成评标后，应当向采购人提交书面评标报告。</w:t>
      </w:r>
    </w:p>
    <w:p w14:paraId="59692F38">
      <w:pPr>
        <w:bidi w:val="0"/>
        <w:rPr>
          <w:rFonts w:hint="eastAsia"/>
          <w:highlight w:val="none"/>
          <w:lang w:val="en-US" w:eastAsia="zh-CN"/>
        </w:rPr>
      </w:pPr>
      <w:bookmarkStart w:id="12" w:name="_Toc25740"/>
    </w:p>
    <w:p w14:paraId="4B0CE310">
      <w:pPr>
        <w:rPr>
          <w:rFonts w:hint="eastAsia"/>
          <w:b/>
          <w:bCs/>
          <w:sz w:val="32"/>
          <w:szCs w:val="40"/>
          <w:highlight w:val="none"/>
          <w:lang w:val="en-US" w:eastAsia="zh-CN"/>
        </w:rPr>
      </w:pPr>
      <w:r>
        <w:rPr>
          <w:rFonts w:hint="eastAsia"/>
          <w:b/>
          <w:bCs/>
          <w:sz w:val="32"/>
          <w:szCs w:val="40"/>
          <w:highlight w:val="none"/>
          <w:lang w:val="en-US" w:eastAsia="zh-CN"/>
        </w:rPr>
        <w:br w:type="page"/>
      </w:r>
    </w:p>
    <w:p w14:paraId="7F3585DB">
      <w:pPr>
        <w:numPr>
          <w:ilvl w:val="0"/>
          <w:numId w:val="0"/>
        </w:numPr>
        <w:spacing w:line="460" w:lineRule="exact"/>
        <w:jc w:val="center"/>
        <w:rPr>
          <w:rFonts w:hint="eastAsia"/>
          <w:highlight w:val="none"/>
        </w:rPr>
      </w:pPr>
      <w:r>
        <w:rPr>
          <w:rFonts w:hint="eastAsia"/>
          <w:b/>
          <w:bCs/>
          <w:sz w:val="32"/>
          <w:szCs w:val="40"/>
          <w:highlight w:val="none"/>
          <w:lang w:val="en-US" w:eastAsia="zh-CN"/>
        </w:rPr>
        <w:t xml:space="preserve">第四章 </w:t>
      </w:r>
      <w:bookmarkEnd w:id="12"/>
      <w:bookmarkStart w:id="13" w:name="_Toc25106"/>
      <w:r>
        <w:rPr>
          <w:rFonts w:hint="eastAsia"/>
          <w:b/>
          <w:bCs/>
          <w:sz w:val="32"/>
          <w:szCs w:val="40"/>
          <w:highlight w:val="none"/>
          <w:lang w:val="en-US" w:eastAsia="zh-CN"/>
        </w:rPr>
        <w:t>技术要求</w:t>
      </w:r>
    </w:p>
    <w:p w14:paraId="4E252A7D">
      <w:pPr>
        <w:snapToGrid/>
        <w:spacing w:before="0" w:beforeAutospacing="0" w:after="0" w:afterAutospacing="0" w:line="240" w:lineRule="auto"/>
        <w:jc w:val="both"/>
        <w:textAlignment w:val="baseline"/>
        <w:rPr>
          <w:rFonts w:hint="eastAsia" w:ascii="宋体" w:hAnsi="宋体"/>
          <w:b w:val="0"/>
          <w:bCs w:val="0"/>
          <w:color w:val="000000" w:themeColor="text1"/>
          <w:kern w:val="2"/>
          <w:sz w:val="22"/>
          <w:szCs w:val="22"/>
          <w:highlight w:val="none"/>
          <w:lang w:val="en-US" w:eastAsia="zh-CN" w:bidi="ar-SA"/>
          <w14:textFill>
            <w14:solidFill>
              <w14:schemeClr w14:val="tx1"/>
            </w14:solidFill>
          </w14:textFill>
        </w:rPr>
      </w:pPr>
    </w:p>
    <w:p w14:paraId="721F75A1">
      <w:pPr>
        <w:rPr>
          <w:rFonts w:hint="eastAsia"/>
          <w:b/>
          <w:bCs/>
          <w:sz w:val="32"/>
          <w:szCs w:val="40"/>
          <w:highlight w:val="none"/>
        </w:rPr>
      </w:pPr>
      <w:r>
        <w:rPr>
          <w:rFonts w:hint="eastAsia"/>
          <w:b/>
          <w:bCs/>
          <w:sz w:val="32"/>
          <w:szCs w:val="40"/>
          <w:highlight w:val="none"/>
        </w:rPr>
        <w:br w:type="page"/>
      </w:r>
    </w:p>
    <w:p w14:paraId="4AD20448">
      <w:pPr>
        <w:jc w:val="center"/>
        <w:rPr>
          <w:rFonts w:hint="eastAsia"/>
          <w:b/>
          <w:bCs/>
          <w:sz w:val="24"/>
          <w:szCs w:val="24"/>
          <w:highlight w:val="none"/>
          <w:lang w:val="en-US" w:eastAsia="zh-CN"/>
        </w:rPr>
      </w:pPr>
      <w:r>
        <w:rPr>
          <w:rFonts w:hint="eastAsia"/>
          <w:b/>
          <w:bCs/>
          <w:sz w:val="24"/>
          <w:szCs w:val="24"/>
          <w:highlight w:val="none"/>
          <w:lang w:val="en-US" w:eastAsia="zh-CN"/>
        </w:rPr>
        <w:t>第一标段</w:t>
      </w:r>
    </w:p>
    <w:tbl>
      <w:tblPr>
        <w:tblStyle w:val="2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9"/>
        <w:gridCol w:w="1393"/>
        <w:gridCol w:w="6600"/>
        <w:gridCol w:w="579"/>
        <w:gridCol w:w="697"/>
      </w:tblGrid>
      <w:tr w14:paraId="72D5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94" w:type="pct"/>
            <w:tcBorders>
              <w:top w:val="single" w:color="000000" w:sz="4" w:space="0"/>
              <w:left w:val="single" w:color="000000" w:sz="4" w:space="0"/>
              <w:bottom w:val="single" w:color="000000" w:sz="4" w:space="0"/>
              <w:right w:val="single" w:color="000000" w:sz="4" w:space="0"/>
            </w:tcBorders>
            <w:noWrap w:val="0"/>
            <w:vAlign w:val="center"/>
          </w:tcPr>
          <w:p w14:paraId="1ED70FB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02B8A1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3349" w:type="pct"/>
            <w:tcBorders>
              <w:top w:val="single" w:color="000000" w:sz="4" w:space="0"/>
              <w:left w:val="single" w:color="000000" w:sz="4" w:space="0"/>
              <w:bottom w:val="single" w:color="000000" w:sz="4" w:space="0"/>
              <w:right w:val="single" w:color="000000" w:sz="4" w:space="0"/>
            </w:tcBorders>
            <w:noWrap w:val="0"/>
            <w:vAlign w:val="center"/>
          </w:tcPr>
          <w:p w14:paraId="6CB1FD34">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cs="宋体"/>
                <w:b/>
                <w:bCs/>
                <w:i w:val="0"/>
                <w:iCs w:val="0"/>
                <w:color w:val="000000"/>
                <w:kern w:val="0"/>
                <w:sz w:val="24"/>
                <w:szCs w:val="24"/>
                <w:highlight w:val="none"/>
                <w:u w:val="none"/>
                <w:lang w:val="en-US" w:eastAsia="zh-CN" w:bidi="ar"/>
              </w:rPr>
              <w:t>技术参数</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05E324A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A5FE4D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cs="宋体"/>
                <w:b/>
                <w:bCs/>
                <w:i w:val="0"/>
                <w:iCs w:val="0"/>
                <w:color w:val="000000"/>
                <w:sz w:val="24"/>
                <w:szCs w:val="24"/>
                <w:highlight w:val="none"/>
                <w:u w:val="none"/>
                <w:lang w:val="en-US" w:eastAsia="zh-CN"/>
              </w:rPr>
              <w:t>数量</w:t>
            </w:r>
          </w:p>
        </w:tc>
      </w:tr>
      <w:tr w14:paraId="201A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0" w:hRule="atLeast"/>
        </w:trPr>
        <w:tc>
          <w:tcPr>
            <w:tcW w:w="294" w:type="pct"/>
            <w:vMerge w:val="restart"/>
            <w:tcBorders>
              <w:top w:val="single" w:color="000000" w:sz="4" w:space="0"/>
              <w:left w:val="single" w:color="000000" w:sz="4" w:space="0"/>
              <w:bottom w:val="single" w:color="000000" w:sz="4" w:space="0"/>
              <w:right w:val="single" w:color="000000" w:sz="4" w:space="0"/>
            </w:tcBorders>
            <w:noWrap/>
            <w:vAlign w:val="center"/>
          </w:tcPr>
          <w:p w14:paraId="219C3F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1</w:t>
            </w:r>
          </w:p>
        </w:tc>
        <w:tc>
          <w:tcPr>
            <w:tcW w:w="707" w:type="pct"/>
            <w:vMerge w:val="restart"/>
            <w:tcBorders>
              <w:top w:val="single" w:color="000000" w:sz="4" w:space="0"/>
              <w:left w:val="single" w:color="000000" w:sz="4" w:space="0"/>
              <w:bottom w:val="single" w:color="000000" w:sz="4" w:space="0"/>
              <w:right w:val="single" w:color="000000" w:sz="4" w:space="0"/>
            </w:tcBorders>
            <w:noWrap w:val="0"/>
            <w:vAlign w:val="center"/>
          </w:tcPr>
          <w:p w14:paraId="348EEA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手动病床</w:t>
            </w:r>
            <w:r>
              <w:rPr>
                <w:rFonts w:hint="eastAsia" w:ascii="宋体" w:hAnsi="宋体" w:cs="宋体"/>
                <w:i w:val="0"/>
                <w:iCs w:val="0"/>
                <w:color w:val="000000"/>
                <w:kern w:val="0"/>
                <w:sz w:val="24"/>
                <w:szCs w:val="24"/>
                <w:highlight w:val="none"/>
                <w:u w:val="none"/>
                <w:lang w:val="en-US" w:eastAsia="zh-CN" w:bidi="ar"/>
              </w:rPr>
              <w:t>（核心产品）</w:t>
            </w:r>
          </w:p>
        </w:tc>
        <w:tc>
          <w:tcPr>
            <w:tcW w:w="3349" w:type="pct"/>
            <w:vMerge w:val="restart"/>
            <w:tcBorders>
              <w:top w:val="single" w:color="000000" w:sz="4" w:space="0"/>
              <w:left w:val="single" w:color="000000" w:sz="4" w:space="0"/>
              <w:bottom w:val="single" w:color="000000" w:sz="4" w:space="0"/>
              <w:right w:val="single" w:color="000000" w:sz="4" w:space="0"/>
            </w:tcBorders>
            <w:noWrap w:val="0"/>
            <w:vAlign w:val="top"/>
          </w:tcPr>
          <w:p w14:paraId="69226DF4">
            <w:pPr>
              <w:keepNext w:val="0"/>
              <w:keepLines w:val="0"/>
              <w:widowControl/>
              <w:numPr>
                <w:ilvl w:val="0"/>
                <w:numId w:val="7"/>
              </w:numPr>
              <w:suppressLineNumbers w:val="0"/>
              <w:jc w:val="left"/>
              <w:textAlignment w:val="top"/>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规格：整床尺寸: 2130（±10mm）×980（±10mm）×500mm（±10mm），床面宽:850mm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2.功能：两摇杆系统实现各种体位，背部升降：0-72°±2°，腿部升降：0-45°±2°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（1）双层稳固结构：床体+整体底座，稳固扎实；床框、底座均加厚用材，床体静态最大载重400kg，床体动态最大载重205kg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（2）背部床板采用双支撑卸力结构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4.部件：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（1）采用双向到位保护螺管，背部床板螺管内置精铜或不锈钢螺母</w:t>
            </w:r>
            <w:r>
              <w:rPr>
                <w:rFonts w:hint="eastAsia" w:ascii="宋体" w:hAnsi="宋体" w:cs="宋体"/>
                <w:i w:val="0"/>
                <w:iCs w:val="0"/>
                <w:color w:val="000000"/>
                <w:kern w:val="0"/>
                <w:sz w:val="24"/>
                <w:szCs w:val="24"/>
                <w:highlight w:val="none"/>
                <w:u w:val="none"/>
                <w:lang w:val="en-US" w:eastAsia="zh-CN" w:bidi="ar"/>
              </w:rPr>
              <w:t>（螺母直径</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38mm）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（2）摇手系统与螺杆间传动部件采用六角钢配铝合金导管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（3）ABS床头尾板采用全新纯正ABS工程塑料注塑成型，杜绝使用二手混合料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（4）ABS床头尾板（高低搭配），采用全新纯正ABS工程塑料注塑成型；</w:t>
            </w:r>
            <w:r>
              <w:rPr>
                <w:rFonts w:hint="eastAsia" w:ascii="宋体" w:hAnsi="宋体" w:cs="宋体"/>
                <w:i w:val="0"/>
                <w:iCs w:val="0"/>
                <w:color w:val="000000"/>
                <w:kern w:val="0"/>
                <w:sz w:val="24"/>
                <w:szCs w:val="24"/>
                <w:highlight w:val="none"/>
                <w:u w:val="none"/>
                <w:lang w:val="en-US" w:eastAsia="zh-CN" w:bidi="ar"/>
              </w:rPr>
              <w:t>（提供第三方出具的对所投产品制造商的床头床尾板不含汞、铅、镉、六价铬环保测试报告），</w:t>
            </w:r>
            <w:r>
              <w:rPr>
                <w:rFonts w:hint="eastAsia" w:ascii="宋体" w:hAnsi="宋体" w:eastAsia="宋体" w:cs="宋体"/>
                <w:i w:val="0"/>
                <w:iCs w:val="0"/>
                <w:color w:val="000000"/>
                <w:kern w:val="0"/>
                <w:sz w:val="24"/>
                <w:szCs w:val="24"/>
                <w:highlight w:val="none"/>
                <w:u w:val="none"/>
                <w:lang w:val="en-US" w:eastAsia="zh-CN" w:bidi="ar"/>
              </w:rPr>
              <w:t>内置钢管加固结构</w:t>
            </w:r>
          </w:p>
          <w:p w14:paraId="18D1FDC1">
            <w:pPr>
              <w:keepNext w:val="0"/>
              <w:keepLines w:val="0"/>
              <w:widowControl/>
              <w:numPr>
                <w:ilvl w:val="0"/>
                <w:numId w:val="0"/>
              </w:numPr>
              <w:suppressLineNumbers w:val="0"/>
              <w:ind w:firstLine="240" w:firstLineChars="10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（5）“易清洁”弯管护栏铝合金≥</w:t>
            </w:r>
            <w:r>
              <w:rPr>
                <w:rFonts w:hint="eastAsia" w:ascii="宋体" w:hAnsi="宋体" w:cs="宋体"/>
                <w:i w:val="0"/>
                <w:iCs w:val="0"/>
                <w:color w:val="000000"/>
                <w:kern w:val="0"/>
                <w:sz w:val="24"/>
                <w:szCs w:val="24"/>
                <w:highlight w:val="none"/>
                <w:u w:val="none"/>
                <w:lang w:val="en-US" w:eastAsia="zh-CN" w:bidi="ar"/>
              </w:rPr>
              <w:t>6个</w:t>
            </w:r>
            <w:r>
              <w:rPr>
                <w:rFonts w:hint="eastAsia" w:ascii="宋体" w:hAnsi="宋体" w:eastAsia="宋体" w:cs="宋体"/>
                <w:i w:val="0"/>
                <w:iCs w:val="0"/>
                <w:color w:val="000000"/>
                <w:kern w:val="0"/>
                <w:sz w:val="24"/>
                <w:szCs w:val="24"/>
                <w:highlight w:val="none"/>
                <w:u w:val="none"/>
                <w:lang w:val="en-US" w:eastAsia="zh-CN" w:bidi="ar"/>
              </w:rPr>
              <w:t>支柱采用经硬化加强的铝合金管材进行弯管</w:t>
            </w:r>
            <w:r>
              <w:rPr>
                <w:rFonts w:hint="eastAsia" w:ascii="宋体" w:hAnsi="宋体" w:cs="宋体"/>
                <w:i w:val="0"/>
                <w:iCs w:val="0"/>
                <w:color w:val="000000"/>
                <w:kern w:val="0"/>
                <w:sz w:val="24"/>
                <w:szCs w:val="24"/>
                <w:highlight w:val="none"/>
                <w:u w:val="none"/>
                <w:lang w:val="en-US" w:eastAsia="zh-CN" w:bidi="ar"/>
              </w:rPr>
              <w:t>（提供第三方出具的对所投产品制造商的拉伸、弯曲、硬度铝合金护栏支柱的测试报告）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（6）护栏开关手柄采用铝合金压铸成型重量≥130g，颜色均与床体相同；操作轻便灵活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（7）弯管护栏通过五金结构件与床体用紧固件连接，弯管不可直接装在床框上，以方便维修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（8）五寸双面中控脚轮，</w:t>
            </w:r>
            <w:r>
              <w:rPr>
                <w:rFonts w:hint="eastAsia" w:ascii="宋体" w:hAnsi="宋体" w:cs="宋体"/>
                <w:i w:val="0"/>
                <w:iCs w:val="0"/>
                <w:color w:val="000000"/>
                <w:kern w:val="0"/>
                <w:sz w:val="24"/>
                <w:szCs w:val="24"/>
                <w:highlight w:val="none"/>
                <w:u w:val="none"/>
                <w:lang w:val="en-US" w:eastAsia="zh-CN" w:bidi="ar"/>
              </w:rPr>
              <w:t>整个</w:t>
            </w:r>
            <w:r>
              <w:rPr>
                <w:rFonts w:hint="eastAsia" w:ascii="宋体" w:hAnsi="宋体" w:eastAsia="宋体" w:cs="宋体"/>
                <w:i w:val="0"/>
                <w:iCs w:val="0"/>
                <w:color w:val="000000"/>
                <w:kern w:val="0"/>
                <w:sz w:val="24"/>
                <w:szCs w:val="24"/>
                <w:highlight w:val="none"/>
                <w:u w:val="none"/>
                <w:lang w:val="en-US" w:eastAsia="zh-CN" w:bidi="ar"/>
              </w:rPr>
              <w:t>脚轮骨架采用航空铝材或不锈钢一次压铸成型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（9）床板采用≥1.0mm冷扎钢板，整体模压成型，背部增加“日”字型钢管加固结构，带模压凹槽和透气孔，抗压力强，永不变形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（1）整床金属部件100% 施以高精度焊接工艺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（2）金属表面处理采用双重涂层技术：环氧树脂保护膜（电泳底漆）＋树脂粉末涂层</w:t>
            </w:r>
            <w:r>
              <w:rPr>
                <w:rFonts w:hint="eastAsia" w:ascii="宋体" w:hAnsi="宋体" w:cs="宋体"/>
                <w:i w:val="0"/>
                <w:iCs w:val="0"/>
                <w:color w:val="000000"/>
                <w:kern w:val="0"/>
                <w:sz w:val="24"/>
                <w:szCs w:val="24"/>
                <w:highlight w:val="none"/>
                <w:u w:val="none"/>
                <w:lang w:val="en-US" w:eastAsia="zh-CN" w:bidi="ar"/>
              </w:rPr>
              <w:t>（提供第三方出具的对所投产品制造商的手动病床床体电泳涂层附着力测试报告）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6.标准配置：四角配软性防撞胶；六个输液架插座和六个可移动挂钩；三个床垫防滑筋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7.ABS床头柜技术参数：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（1）规格: (L×W×H)≥480×480×820mm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（2）采用全新纯正 ABS 工程塑料，杜绝使用二手混合料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（3）功能:水壶座、隐藏式毛巾架、隐藏式杂物挂钩、餐桌板(托物板)、抽屉、储物柜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（4）储物柜内有中间隔板，弧线型柜门设计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（5）配2寸尼龙丝扣轮，移动方便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（6）床头柜面板采用全新的ABS注塑成型，防潮防水，易清洁，可冲洗，适用于医院经常消毒清洁的工作环境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（7）床头柜有生产商的注塑模具模印商标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.床垫技术参数：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（1）规格:80mm厚，长宽与床相匹配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（2）面料:防水牛津布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（3）内褥:60mm 厚 28°高密度海绵+20mm环保椰棕；床垫套易清洁，可拆洗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9</w:t>
            </w:r>
            <w:r>
              <w:rPr>
                <w:rFonts w:hint="eastAsia" w:ascii="宋体" w:hAnsi="宋体" w:eastAsia="宋体" w:cs="宋体"/>
                <w:i w:val="0"/>
                <w:iCs w:val="0"/>
                <w:color w:val="000000"/>
                <w:kern w:val="0"/>
                <w:sz w:val="24"/>
                <w:szCs w:val="24"/>
                <w:highlight w:val="none"/>
                <w:u w:val="none"/>
                <w:lang w:val="en-US" w:eastAsia="zh-CN" w:bidi="ar"/>
              </w:rPr>
              <w:t>.ABS餐桌板技术参数: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(1)规格:（伸缩长度880-1050）×320×27mm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(2)材料:采用全新纯正 ABS工程塑料注塑成型面板，铝合金伸缩杆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.不锈钢点滴架技术参数: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(1)规格:≥Φ 19×0.9mm×900mm-1620mm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(2)不锈钢内外套管，可伸缩双段式结构，四爪式设计，高强度铝合金挂钩</w:t>
            </w:r>
          </w:p>
          <w:p w14:paraId="1C2E3C7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提供所投产品</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医疗器械备案凭证</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或者</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医疗器械注册证</w:t>
            </w:r>
            <w:r>
              <w:rPr>
                <w:rFonts w:hint="eastAsia" w:ascii="宋体" w:hAnsi="宋体" w:eastAsia="宋体" w:cs="宋体"/>
                <w:i w:val="0"/>
                <w:iCs w:val="0"/>
                <w:color w:val="000000"/>
                <w:kern w:val="0"/>
                <w:sz w:val="24"/>
                <w:szCs w:val="24"/>
                <w:highlight w:val="none"/>
                <w:u w:val="none"/>
                <w:lang w:val="en-US" w:eastAsia="zh-CN" w:bidi="ar"/>
              </w:rPr>
              <w:t>》</w:t>
            </w:r>
          </w:p>
        </w:tc>
        <w:tc>
          <w:tcPr>
            <w:tcW w:w="294" w:type="pct"/>
            <w:vMerge w:val="restart"/>
            <w:tcBorders>
              <w:top w:val="single" w:color="000000" w:sz="4" w:space="0"/>
              <w:left w:val="single" w:color="000000" w:sz="4" w:space="0"/>
              <w:bottom w:val="single" w:color="000000" w:sz="4" w:space="0"/>
              <w:right w:val="single" w:color="000000" w:sz="4" w:space="0"/>
            </w:tcBorders>
            <w:noWrap w:val="0"/>
            <w:vAlign w:val="center"/>
          </w:tcPr>
          <w:p w14:paraId="1D7819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353" w:type="pct"/>
            <w:vMerge w:val="restart"/>
            <w:tcBorders>
              <w:top w:val="single" w:color="000000" w:sz="4" w:space="0"/>
              <w:left w:val="single" w:color="000000" w:sz="4" w:space="0"/>
              <w:bottom w:val="single" w:color="000000" w:sz="4" w:space="0"/>
              <w:right w:val="single" w:color="000000" w:sz="4" w:space="0"/>
            </w:tcBorders>
            <w:noWrap w:val="0"/>
            <w:vAlign w:val="center"/>
          </w:tcPr>
          <w:p w14:paraId="541E1246">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800</w:t>
            </w:r>
            <w:r>
              <w:rPr>
                <w:rFonts w:hint="eastAsia" w:ascii="宋体" w:hAnsi="宋体" w:cs="宋体"/>
                <w:i w:val="0"/>
                <w:iCs w:val="0"/>
                <w:color w:val="000000"/>
                <w:kern w:val="0"/>
                <w:sz w:val="24"/>
                <w:szCs w:val="24"/>
                <w:highlight w:val="none"/>
                <w:u w:val="none"/>
                <w:lang w:val="en-US" w:eastAsia="zh-CN" w:bidi="ar"/>
              </w:rPr>
              <w:t xml:space="preserve"> </w:t>
            </w:r>
          </w:p>
        </w:tc>
      </w:tr>
      <w:tr w14:paraId="665B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7B22CDB0">
            <w:pPr>
              <w:jc w:val="center"/>
              <w:rPr>
                <w:rFonts w:hint="eastAsia" w:ascii="宋体" w:hAnsi="宋体" w:eastAsia="宋体" w:cs="宋体"/>
                <w:i w:val="0"/>
                <w:iCs w:val="0"/>
                <w:color w:val="000000"/>
                <w:sz w:val="24"/>
                <w:szCs w:val="24"/>
                <w:highlight w:val="none"/>
                <w:u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333121">
            <w:pPr>
              <w:jc w:val="center"/>
              <w:rPr>
                <w:rFonts w:hint="eastAsia" w:ascii="宋体" w:hAnsi="宋体" w:eastAsia="宋体" w:cs="宋体"/>
                <w:i w:val="0"/>
                <w:iCs w:val="0"/>
                <w:color w:val="000000"/>
                <w:sz w:val="24"/>
                <w:szCs w:val="24"/>
                <w:highlight w:val="none"/>
                <w:u w:val="none"/>
              </w:rPr>
            </w:pPr>
          </w:p>
        </w:tc>
        <w:tc>
          <w:tcPr>
            <w:tcW w:w="3349" w:type="pct"/>
            <w:vMerge w:val="continue"/>
            <w:tcBorders>
              <w:top w:val="single" w:color="000000" w:sz="4" w:space="0"/>
              <w:left w:val="single" w:color="000000" w:sz="4" w:space="0"/>
              <w:bottom w:val="single" w:color="000000" w:sz="4" w:space="0"/>
              <w:right w:val="single" w:color="000000" w:sz="4" w:space="0"/>
            </w:tcBorders>
            <w:noWrap w:val="0"/>
            <w:vAlign w:val="top"/>
          </w:tcPr>
          <w:p w14:paraId="6ECDDAAD">
            <w:pPr>
              <w:jc w:val="left"/>
              <w:rPr>
                <w:rFonts w:hint="eastAsia" w:ascii="宋体" w:hAnsi="宋体" w:eastAsia="宋体" w:cs="宋体"/>
                <w:i w:val="0"/>
                <w:iCs w:val="0"/>
                <w:color w:val="000000"/>
                <w:sz w:val="24"/>
                <w:szCs w:val="24"/>
                <w:highlight w:val="none"/>
                <w:u w:val="none"/>
              </w:rPr>
            </w:pPr>
          </w:p>
        </w:tc>
        <w:tc>
          <w:tcPr>
            <w:tcW w:w="2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35F0C1">
            <w:pPr>
              <w:jc w:val="center"/>
              <w:rPr>
                <w:rFonts w:hint="eastAsia" w:ascii="宋体" w:hAnsi="宋体" w:eastAsia="宋体" w:cs="宋体"/>
                <w:i w:val="0"/>
                <w:iCs w:val="0"/>
                <w:color w:val="000000"/>
                <w:sz w:val="24"/>
                <w:szCs w:val="24"/>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5585ED">
            <w:pPr>
              <w:jc w:val="center"/>
              <w:rPr>
                <w:rFonts w:hint="eastAsia" w:ascii="宋体" w:hAnsi="宋体" w:eastAsia="宋体" w:cs="宋体"/>
                <w:i w:val="0"/>
                <w:iCs w:val="0"/>
                <w:color w:val="000000"/>
                <w:sz w:val="24"/>
                <w:szCs w:val="24"/>
                <w:highlight w:val="none"/>
                <w:u w:val="none"/>
              </w:rPr>
            </w:pPr>
          </w:p>
        </w:tc>
      </w:tr>
      <w:tr w14:paraId="761C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trPr>
        <w:tc>
          <w:tcPr>
            <w:tcW w:w="294" w:type="pct"/>
            <w:vMerge w:val="restart"/>
            <w:tcBorders>
              <w:top w:val="single" w:color="000000" w:sz="4" w:space="0"/>
              <w:left w:val="single" w:color="000000" w:sz="4" w:space="0"/>
              <w:bottom w:val="single" w:color="000000" w:sz="4" w:space="0"/>
              <w:right w:val="single" w:color="000000" w:sz="4" w:space="0"/>
            </w:tcBorders>
            <w:noWrap/>
            <w:vAlign w:val="center"/>
          </w:tcPr>
          <w:p w14:paraId="148577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2</w:t>
            </w:r>
          </w:p>
        </w:tc>
        <w:tc>
          <w:tcPr>
            <w:tcW w:w="707" w:type="pct"/>
            <w:vMerge w:val="restart"/>
            <w:tcBorders>
              <w:top w:val="single" w:color="000000" w:sz="4" w:space="0"/>
              <w:left w:val="single" w:color="000000" w:sz="4" w:space="0"/>
              <w:bottom w:val="single" w:color="000000" w:sz="4" w:space="0"/>
              <w:right w:val="single" w:color="000000" w:sz="4" w:space="0"/>
            </w:tcBorders>
            <w:noWrap w:val="0"/>
            <w:vAlign w:val="center"/>
          </w:tcPr>
          <w:p w14:paraId="75944C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电动病床</w:t>
            </w:r>
          </w:p>
        </w:tc>
        <w:tc>
          <w:tcPr>
            <w:tcW w:w="3349" w:type="pct"/>
            <w:vMerge w:val="restart"/>
            <w:tcBorders>
              <w:top w:val="single" w:color="000000" w:sz="4" w:space="0"/>
              <w:left w:val="single" w:color="000000" w:sz="4" w:space="0"/>
              <w:bottom w:val="single" w:color="000000" w:sz="4" w:space="0"/>
              <w:right w:val="single" w:color="000000" w:sz="4" w:space="0"/>
            </w:tcBorders>
            <w:noWrap w:val="0"/>
            <w:vAlign w:val="top"/>
          </w:tcPr>
          <w:p w14:paraId="7E1B2F09">
            <w:pPr>
              <w:keepNext w:val="0"/>
              <w:keepLines w:val="0"/>
              <w:widowControl/>
              <w:numPr>
                <w:ilvl w:val="0"/>
                <w:numId w:val="8"/>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（1）整床尺寸: 长2190（±10mm），宽990（±10mm），床面宽：850mm（±5mm）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（2）整体护栏总长度:1920mm（±10mm）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（1）四电机全自动实现各种体位，背部升降：0-72°±2°，腿部升降：0-35°±2°，床面高度升降调节：500-810mm（±10mm），整床前后倾斜:0-13°±1°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（2）背部X光拍片：适用于多种主流DR扫描设备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（3）腹部自延位减压，自延位减压床板，使床板上升时自动向后延位，减少患者背部、腹部和臀部的压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（4）电子液晶实时显示：升降角度、整床倾斜角度、升降高度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（5）手动CPR功能、一键式电动CPR；一键式心脏椅体位 、一键式垂头仰卧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（1）双层结构：床体+钢塑整体底座，采用≥30×60×1.5mm矩型钢管，床体静态最大载重400kg，床体动态最大载重不小于175kg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（2）背部床板增加矩形钢管加固，背部床板与床框之间采用自延位减压结构，背部床板后延的最大值≥60mm.此时臀部床板与背部床板距离的最小值≥40mm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4.部件：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（1）电机及控制系统：电机防水≥IPX6；；性能稳定，耐用寿命长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（2）液晶护士总控器,含电子角度显示，标识清楚，具备按键锁定功能，锁定安全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（3）侧护栏控制器,头部护栏两侧均设置体位控制器，护士总控器有关闭操作权限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（4）床头尾板，采用全新纯正PE原材料整体一次吹塑成型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（5）全包围四护栏采用全新的PE材质吹塑成型无缝隙，易清洁，不变形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（6）全包围四护栏，符合IEC60601-2-52安全标准，上身护栏与床板保持同步升降；气弹簧辅助自动下降；护栏内嵌机械式角度显示器，实时显示背部床板、整床前后倾斜角度；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（7）五寸双面中控脚轮，脚轮骨架采用不锈钢或航空铝材压铸成型并由模印商标，质地坚硬且轻盈，一脚制动，稳固牢靠；内置全封闭自润滑轴承，防水、防异物卷入，永不生锈；轮面采用TPR耐磨材料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（8）背部床板采用X-ray无损透射材料；其余床板采用1.2mm武钢冷扎钢板，整体模压成型，床板后有钢管加固机构，抗压力强，永不变形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（1）确保病床安全可靠，牢固结实</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（2）金属表面处理采用双重涂层技术：电泳底漆＋树脂粉末涂层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6.标准配置：四个Φ85mm防撞轮、输液架插座和可移动引流袋挂钩；床垫防滑筋一个；两个助力棒插座；约束环四组；一个后备电源（UPS）和急停开关</w:t>
            </w:r>
          </w:p>
          <w:p w14:paraId="0A41D82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提供所投产品</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医疗器械备案凭证</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或者</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医疗器械注册证</w:t>
            </w:r>
            <w:r>
              <w:rPr>
                <w:rFonts w:hint="eastAsia" w:ascii="宋体" w:hAnsi="宋体" w:eastAsia="宋体" w:cs="宋体"/>
                <w:i w:val="0"/>
                <w:iCs w:val="0"/>
                <w:color w:val="000000"/>
                <w:kern w:val="0"/>
                <w:sz w:val="24"/>
                <w:szCs w:val="24"/>
                <w:highlight w:val="none"/>
                <w:u w:val="none"/>
                <w:lang w:val="en-US" w:eastAsia="zh-CN" w:bidi="ar"/>
              </w:rPr>
              <w:t>》</w:t>
            </w:r>
          </w:p>
        </w:tc>
        <w:tc>
          <w:tcPr>
            <w:tcW w:w="294" w:type="pct"/>
            <w:vMerge w:val="restart"/>
            <w:tcBorders>
              <w:top w:val="single" w:color="000000" w:sz="4" w:space="0"/>
              <w:left w:val="single" w:color="000000" w:sz="4" w:space="0"/>
              <w:bottom w:val="single" w:color="000000" w:sz="4" w:space="0"/>
              <w:right w:val="single" w:color="000000" w:sz="4" w:space="0"/>
            </w:tcBorders>
            <w:noWrap w:val="0"/>
            <w:vAlign w:val="center"/>
          </w:tcPr>
          <w:p w14:paraId="0C1163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353" w:type="pct"/>
            <w:vMerge w:val="restart"/>
            <w:tcBorders>
              <w:top w:val="single" w:color="000000" w:sz="4" w:space="0"/>
              <w:left w:val="single" w:color="000000" w:sz="4" w:space="0"/>
              <w:bottom w:val="single" w:color="000000" w:sz="4" w:space="0"/>
              <w:right w:val="single" w:color="000000" w:sz="4" w:space="0"/>
            </w:tcBorders>
            <w:noWrap w:val="0"/>
            <w:vAlign w:val="center"/>
          </w:tcPr>
          <w:p w14:paraId="48D811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49E7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94" w:type="pct"/>
            <w:vMerge w:val="continue"/>
            <w:tcBorders>
              <w:top w:val="single" w:color="000000" w:sz="4" w:space="0"/>
              <w:left w:val="single" w:color="000000" w:sz="4" w:space="0"/>
              <w:bottom w:val="single" w:color="000000" w:sz="4" w:space="0"/>
              <w:right w:val="single" w:color="000000" w:sz="4" w:space="0"/>
            </w:tcBorders>
            <w:noWrap/>
            <w:vAlign w:val="center"/>
          </w:tcPr>
          <w:p w14:paraId="2605646D">
            <w:pPr>
              <w:jc w:val="center"/>
              <w:rPr>
                <w:rFonts w:hint="eastAsia" w:ascii="宋体" w:hAnsi="宋体" w:eastAsia="宋体" w:cs="宋体"/>
                <w:i w:val="0"/>
                <w:iCs w:val="0"/>
                <w:color w:val="000000"/>
                <w:sz w:val="24"/>
                <w:szCs w:val="24"/>
                <w:highlight w:val="none"/>
                <w:u w:val="none"/>
              </w:rPr>
            </w:pPr>
          </w:p>
        </w:tc>
        <w:tc>
          <w:tcPr>
            <w:tcW w:w="7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CE9BBA">
            <w:pPr>
              <w:jc w:val="center"/>
              <w:rPr>
                <w:rFonts w:hint="eastAsia" w:ascii="宋体" w:hAnsi="宋体" w:eastAsia="宋体" w:cs="宋体"/>
                <w:i w:val="0"/>
                <w:iCs w:val="0"/>
                <w:color w:val="000000"/>
                <w:sz w:val="24"/>
                <w:szCs w:val="24"/>
                <w:highlight w:val="none"/>
                <w:u w:val="none"/>
              </w:rPr>
            </w:pPr>
          </w:p>
        </w:tc>
        <w:tc>
          <w:tcPr>
            <w:tcW w:w="3349" w:type="pct"/>
            <w:vMerge w:val="continue"/>
            <w:tcBorders>
              <w:top w:val="single" w:color="000000" w:sz="4" w:space="0"/>
              <w:left w:val="single" w:color="000000" w:sz="4" w:space="0"/>
              <w:bottom w:val="single" w:color="000000" w:sz="4" w:space="0"/>
              <w:right w:val="single" w:color="000000" w:sz="4" w:space="0"/>
            </w:tcBorders>
            <w:noWrap w:val="0"/>
            <w:vAlign w:val="top"/>
          </w:tcPr>
          <w:p w14:paraId="66AA6F8E">
            <w:pPr>
              <w:jc w:val="left"/>
              <w:rPr>
                <w:rFonts w:hint="eastAsia" w:ascii="宋体" w:hAnsi="宋体" w:eastAsia="宋体" w:cs="宋体"/>
                <w:i w:val="0"/>
                <w:iCs w:val="0"/>
                <w:color w:val="000000"/>
                <w:sz w:val="24"/>
                <w:szCs w:val="24"/>
                <w:highlight w:val="none"/>
                <w:u w:val="none"/>
              </w:rPr>
            </w:pPr>
          </w:p>
        </w:tc>
        <w:tc>
          <w:tcPr>
            <w:tcW w:w="2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DF4EB">
            <w:pPr>
              <w:jc w:val="center"/>
              <w:rPr>
                <w:rFonts w:hint="eastAsia" w:ascii="宋体" w:hAnsi="宋体" w:eastAsia="宋体" w:cs="宋体"/>
                <w:i w:val="0"/>
                <w:iCs w:val="0"/>
                <w:color w:val="000000"/>
                <w:sz w:val="24"/>
                <w:szCs w:val="24"/>
                <w:highlight w:val="none"/>
                <w:u w:val="none"/>
              </w:rPr>
            </w:pPr>
          </w:p>
        </w:tc>
        <w:tc>
          <w:tcPr>
            <w:tcW w:w="35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1EF037">
            <w:pPr>
              <w:jc w:val="center"/>
              <w:rPr>
                <w:rFonts w:hint="eastAsia" w:ascii="宋体" w:hAnsi="宋体" w:eastAsia="宋体" w:cs="宋体"/>
                <w:i w:val="0"/>
                <w:iCs w:val="0"/>
                <w:color w:val="000000"/>
                <w:sz w:val="24"/>
                <w:szCs w:val="24"/>
                <w:highlight w:val="none"/>
                <w:u w:val="none"/>
              </w:rPr>
            </w:pPr>
          </w:p>
        </w:tc>
      </w:tr>
      <w:tr w14:paraId="0652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15C558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3</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276ADA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电动病床（多功能称重）</w:t>
            </w:r>
          </w:p>
          <w:p w14:paraId="0F9D958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3349" w:type="pct"/>
            <w:tcBorders>
              <w:top w:val="single" w:color="000000" w:sz="4" w:space="0"/>
              <w:left w:val="single" w:color="000000" w:sz="4" w:space="0"/>
              <w:bottom w:val="single" w:color="000000" w:sz="4" w:space="0"/>
              <w:right w:val="single" w:color="000000" w:sz="4" w:space="0"/>
            </w:tcBorders>
            <w:noWrap w:val="0"/>
            <w:vAlign w:val="top"/>
          </w:tcPr>
          <w:p w14:paraId="01D76F9D">
            <w:pPr>
              <w:keepNext w:val="0"/>
              <w:keepLines w:val="0"/>
              <w:widowControl/>
              <w:numPr>
                <w:ilvl w:val="0"/>
                <w:numId w:val="9"/>
              </w:numPr>
              <w:suppressLineNumbers w:val="0"/>
              <w:jc w:val="left"/>
              <w:textAlignment w:val="top"/>
              <w:rPr>
                <w:highlight w:val="none"/>
              </w:rPr>
            </w:pPr>
            <w:r>
              <w:rPr>
                <w:rFonts w:hint="eastAsia" w:ascii="宋体" w:hAnsi="宋体" w:eastAsia="宋体" w:cs="宋体"/>
                <w:i w:val="0"/>
                <w:iCs w:val="0"/>
                <w:color w:val="000000"/>
                <w:kern w:val="0"/>
                <w:sz w:val="24"/>
                <w:szCs w:val="24"/>
                <w:highlight w:val="none"/>
                <w:u w:val="none"/>
                <w:lang w:val="en-US" w:eastAsia="zh-CN" w:bidi="ar"/>
              </w:rPr>
              <w:t>规格：整床尺寸：长≥2190mm，宽≥990mm，床面最低高度≤500mm，高度调节范围≥220mm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（1）最大背板角度≥70°最大腿板角度≥30°，整床前后倾斜: ≥12°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（2）称重系统：高精度动态称重系统，液晶显示，位于床尾，100kg内精确度达±0.1kg；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（3）腹部位减压功能压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（4）护栏内嵌角度指示器，角度指示器显示病床靠背和整床面倾斜角度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（5）总控制器电子液晶实时显示：升降角度/整床倾斜角度/升降高度；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（6）具备电动、手动CPR</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（7）一键式心脏椅体位，一键式垂头仰卧位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3.床体部分：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（1）床架采用钢骨结构设计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（2）背部床板可透X光，床板背面有钢管加固结构；其余床板采用1.2mm钢板，整体模压成型，带模压凹槽和透气孔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（3）床体防锈要求：内外防锈处理工艺---双重涂层：电泳底漆＋树脂粉末涂层，通过电泳技术在金属管材内壁及表面均匀电泳上一层环氧树脂底漆，然后静电树脂粉末喷涂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（4）电机系统：电机防水≥IPX6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（5）控制系统：总控制面板操作系统、侧护栏控制器、控制盒、后备电源、急停开关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(6)总控制面板操作系统，液晶显示升降角度/倾斜度/整床高度等数字。具备按键锁定功能，同时可锁定侧护栏控制器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（7）床头尾板及护栏材料：采用PE原材料，整体一次吹塑成型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（8）护栏间距离≤60mm；护栏内嵌角度显示器，实时显示背部床板、整床前后倾斜角度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（9）护栏板与护栏开关组件的连接构件、护栏旋转力臂均采用铝合金材质或不锈钢材质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（10）中控脚轮：脚轮≥5寸中控双面脚轮，脚轮骨架采用航空铝材或不锈钢一次压铸成型并有模印商标，脚轮骨架重量≥350g；轮面采用TPR高分子耐磨材料；中控刹车，不锈钢脚踏；密封自润滑轴承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4.标准配置：4个保护性防撞轮；床体两侧引流挂钩、约束环及输液架插孔≥4个，床垫防滑装置≥1个；床底灯1个； </w:t>
            </w:r>
            <w:r>
              <w:rPr>
                <w:rFonts w:hint="eastAsia" w:ascii="宋体" w:hAnsi="宋体" w:cs="宋体"/>
                <w:i w:val="0"/>
                <w:iCs w:val="0"/>
                <w:color w:val="000000"/>
                <w:kern w:val="0"/>
                <w:sz w:val="24"/>
                <w:szCs w:val="24"/>
                <w:highlight w:val="none"/>
                <w:u w:val="none"/>
                <w:lang w:val="en-US" w:eastAsia="zh-CN" w:bidi="ar"/>
              </w:rPr>
              <w:t>1个</w:t>
            </w:r>
            <w:r>
              <w:rPr>
                <w:rFonts w:hint="eastAsia" w:ascii="宋体" w:hAnsi="宋体" w:eastAsia="宋体" w:cs="宋体"/>
                <w:i w:val="0"/>
                <w:iCs w:val="0"/>
                <w:color w:val="000000"/>
                <w:kern w:val="0"/>
                <w:sz w:val="24"/>
                <w:szCs w:val="24"/>
                <w:highlight w:val="none"/>
                <w:u w:val="none"/>
                <w:lang w:val="en-US" w:eastAsia="zh-CN" w:bidi="ar"/>
              </w:rPr>
              <w:t>急停开关</w:t>
            </w:r>
          </w:p>
          <w:p w14:paraId="01E0F9F7">
            <w:pPr>
              <w:keepNext w:val="0"/>
              <w:keepLines w:val="0"/>
              <w:widowControl/>
              <w:numPr>
                <w:ilvl w:val="0"/>
                <w:numId w:val="0"/>
              </w:numPr>
              <w:suppressLineNumbers w:val="0"/>
              <w:jc w:val="left"/>
              <w:textAlignment w:val="top"/>
              <w:rPr>
                <w:rFonts w:hint="eastAsia"/>
                <w:highlight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提供所投产品</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医疗器械备案凭证</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或者</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医疗器械注册证</w:t>
            </w:r>
            <w:r>
              <w:rPr>
                <w:rFonts w:hint="eastAsia" w:ascii="宋体" w:hAnsi="宋体" w:eastAsia="宋体" w:cs="宋体"/>
                <w:i w:val="0"/>
                <w:iCs w:val="0"/>
                <w:color w:val="000000"/>
                <w:kern w:val="0"/>
                <w:sz w:val="24"/>
                <w:szCs w:val="24"/>
                <w:highlight w:val="none"/>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61D4E5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353" w:type="pct"/>
            <w:tcBorders>
              <w:top w:val="single" w:color="000000" w:sz="4" w:space="0"/>
              <w:left w:val="single" w:color="000000" w:sz="4" w:space="0"/>
              <w:bottom w:val="single" w:color="000000" w:sz="4" w:space="0"/>
              <w:right w:val="single" w:color="000000" w:sz="4" w:space="0"/>
            </w:tcBorders>
            <w:noWrap/>
            <w:vAlign w:val="center"/>
          </w:tcPr>
          <w:p w14:paraId="3CFEE4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577EA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4" w:type="pct"/>
            <w:tcBorders>
              <w:top w:val="single" w:color="000000" w:sz="4" w:space="0"/>
              <w:left w:val="single" w:color="000000" w:sz="4" w:space="0"/>
              <w:bottom w:val="single" w:color="000000" w:sz="4" w:space="0"/>
              <w:right w:val="single" w:color="000000" w:sz="4" w:space="0"/>
            </w:tcBorders>
            <w:noWrap/>
            <w:vAlign w:val="center"/>
          </w:tcPr>
          <w:p w14:paraId="76FD30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4</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01EB8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电动病床（多功能翻身）</w:t>
            </w:r>
          </w:p>
        </w:tc>
        <w:tc>
          <w:tcPr>
            <w:tcW w:w="3349" w:type="pct"/>
            <w:tcBorders>
              <w:top w:val="single" w:color="000000" w:sz="4" w:space="0"/>
              <w:left w:val="nil"/>
              <w:bottom w:val="single" w:color="000000" w:sz="4" w:space="0"/>
              <w:right w:val="nil"/>
            </w:tcBorders>
            <w:noWrap w:val="0"/>
            <w:vAlign w:val="top"/>
          </w:tcPr>
          <w:p w14:paraId="5D6822D2">
            <w:pPr>
              <w:keepNext w:val="0"/>
              <w:keepLines w:val="0"/>
              <w:widowControl/>
              <w:numPr>
                <w:ilvl w:val="0"/>
                <w:numId w:val="1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规格：整床尺寸:长≥218cm，100cm≥宽≥99cm，床面最低高度≤59cm，高度调节范围≥22cm，床板宽85cm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（1）五电机全自动实现各种体位，背部升降：0-72°±2°，腿部升降：0-36°±2°，床板侧翻液晶显示侧翻角度，床板左右侧翻:0-31°±1°，整床前后倾斜: 0-13°±1°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（2）辅助翻身功能：翻身时护栏保持垂直地面，床板侧翻液晶准确显示侧翻角度，床板左右侧翻:0-31°±1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（3）腹部自延位减压功能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（4）电子液晶实时显示：升降角度/整床倾斜角度/升降高度/翻身角度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（5）手动CPR、电动CPR、一键式心脏椅体位、一键式垂头仰卧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3.控制系统：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（1）电机及控制系统均采用电机系统：电动推杆最大推力≥5800N；进液防护等级：≥IPX6、强劲动力，性能稳定，平缓静音，耐用寿命长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（2）控制系统：总控制面板操作系统、侧护栏控制器、控制盒、后备电源、急停开关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（3）总控制面板操作系统，能准确液晶显示翻身角度/升降角度/倾斜角度/升降高度等数字。具备按键锁定功能，同时可锁定侧护栏控制器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4.床体结构：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（1）整体床架采用钢骨结构设计，床体静态最大载重≥400kg，床体动态最大载重≥175kg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（2）背部床板钢管加固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（3）防锈要求：内外防锈处理工艺---双重涂层；电泳底漆＋树脂粉末涂层等工艺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（4）床板为3纵4列组成，当床侧翻时纵向床板均向外侧翻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5.床头床尾板、护栏：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（1）材料：采用全新PP或PE原材料整体一次注塑或吹塑成型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（2）护栏间距离≤60mm；护栏内嵌角度显示器，实时显示背部床板、整床前后倾斜角度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（3）护栏板与护栏开关组件的连接构件采用压铸铝合金制造；护栏旋转力臂采用不锈钢或压铸铝合金构件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中控脚轮：三段式（直行、万向、刹车）中控脚轮≥5寸双面脚轮，脚轮骨架采用航空铝材或不锈钢一次压铸成型并有模印商标，脚轮骨架重量≥365g，结实耐用；轮面采用TPR高分子耐磨材料；中央刹车，不锈钢脚踏；密封自润滑轴承，防水、防尘、防缠绕</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7.标准配置：电机≥5个、引流挂钩及输液架插孔≥4个、床底灯一个、急停开关1个、后备电源≥2个、输液架1个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8.配套床垫：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（1）规格大小与床匹配，厚度≥90mm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（2）材质：仿生布（防水透气）+高密度海绵</w:t>
            </w:r>
          </w:p>
          <w:p w14:paraId="3D2F25B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提供所投产品</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医疗器械备案凭证</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或者</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医疗器械注册证</w:t>
            </w:r>
            <w:r>
              <w:rPr>
                <w:rFonts w:hint="eastAsia" w:ascii="宋体" w:hAnsi="宋体" w:eastAsia="宋体" w:cs="宋体"/>
                <w:i w:val="0"/>
                <w:iCs w:val="0"/>
                <w:color w:val="000000"/>
                <w:kern w:val="0"/>
                <w:sz w:val="24"/>
                <w:szCs w:val="24"/>
                <w:highlight w:val="none"/>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94494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353" w:type="pct"/>
            <w:tcBorders>
              <w:top w:val="single" w:color="000000" w:sz="4" w:space="0"/>
              <w:left w:val="single" w:color="000000" w:sz="4" w:space="0"/>
              <w:bottom w:val="single" w:color="000000" w:sz="4" w:space="0"/>
              <w:right w:val="single" w:color="000000" w:sz="4" w:space="0"/>
            </w:tcBorders>
            <w:noWrap/>
            <w:vAlign w:val="center"/>
          </w:tcPr>
          <w:p w14:paraId="0DE565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bl>
    <w:p w14:paraId="4F9FCA24">
      <w:pPr>
        <w:rPr>
          <w:highlight w:val="none"/>
        </w:rPr>
      </w:pPr>
    </w:p>
    <w:p w14:paraId="289BCB3F">
      <w:pPr>
        <w:rPr>
          <w:rFonts w:hint="eastAsia"/>
          <w:b/>
          <w:bCs/>
          <w:sz w:val="32"/>
          <w:szCs w:val="40"/>
          <w:highlight w:val="none"/>
        </w:rPr>
      </w:pPr>
    </w:p>
    <w:p w14:paraId="32ADD174">
      <w:pPr>
        <w:jc w:val="center"/>
        <w:rPr>
          <w:rFonts w:hint="eastAsia"/>
          <w:b/>
          <w:bCs/>
          <w:sz w:val="24"/>
          <w:szCs w:val="32"/>
          <w:highlight w:val="none"/>
          <w:lang w:val="en-US" w:eastAsia="zh-CN"/>
        </w:rPr>
      </w:pPr>
      <w:r>
        <w:rPr>
          <w:rFonts w:hint="eastAsia"/>
          <w:b/>
          <w:bCs/>
          <w:sz w:val="32"/>
          <w:szCs w:val="40"/>
          <w:highlight w:val="none"/>
        </w:rPr>
        <w:br w:type="page"/>
      </w:r>
      <w:r>
        <w:rPr>
          <w:rFonts w:hint="eastAsia"/>
          <w:b/>
          <w:bCs/>
          <w:sz w:val="32"/>
          <w:szCs w:val="40"/>
          <w:highlight w:val="none"/>
          <w:lang w:val="en-US" w:eastAsia="zh-CN"/>
        </w:rPr>
        <w:t xml:space="preserve">  </w:t>
      </w:r>
      <w:r>
        <w:rPr>
          <w:rFonts w:hint="eastAsia"/>
          <w:b/>
          <w:bCs/>
          <w:sz w:val="24"/>
          <w:szCs w:val="32"/>
          <w:highlight w:val="none"/>
          <w:lang w:val="en-US" w:eastAsia="zh-CN"/>
        </w:rPr>
        <w:t>第二标段</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8"/>
        <w:gridCol w:w="1179"/>
        <w:gridCol w:w="6642"/>
        <w:gridCol w:w="489"/>
        <w:gridCol w:w="1056"/>
      </w:tblGrid>
      <w:tr w14:paraId="5307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4074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F008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AD35D">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cs="宋体"/>
                <w:b/>
                <w:bCs/>
                <w:i w:val="0"/>
                <w:iCs w:val="0"/>
                <w:color w:val="000000"/>
                <w:kern w:val="0"/>
                <w:sz w:val="24"/>
                <w:szCs w:val="24"/>
                <w:highlight w:val="none"/>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AF6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4131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039D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0F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479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导医台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A37EC">
            <w:pPr>
              <w:keepNext w:val="0"/>
              <w:keepLines w:val="0"/>
              <w:widowControl/>
              <w:numPr>
                <w:ilvl w:val="0"/>
                <w:numId w:val="11"/>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规格尺寸（mm）：主体圆形L*750/350*750/430（长*宽*高），医用上台面L*350*45，医用下台面L*750*45，外包装饰人造石L*1060*12，不锈钢踢脚线L*120*0.8（长*高*材料厚度）</w:t>
            </w:r>
          </w:p>
          <w:p w14:paraId="6B11CBBA">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t>1.1医用环保护士站(医用护士工作站)：</w:t>
            </w:r>
          </w:p>
          <w:p w14:paraId="73CF9D1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1.1.1形状与位置公差：</w:t>
            </w:r>
          </w:p>
          <w:p w14:paraId="4E2F757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邻边垂直度-对角线长度、邻边垂直度-对边长度、平整度、位差度、分缝、着地平稳性：合格；</w:t>
            </w:r>
          </w:p>
          <w:p w14:paraId="4F1D7E9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1.1.2外观性能要求：金属件：焊接件、冲压件、喷涂层：合格；塑料件：合格；</w:t>
            </w:r>
          </w:p>
          <w:p w14:paraId="674D224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1.1.3金属喷漆（塑）涂层：硬度：≥H;冲击强度：冲击高度400mm，应无剥落、裂纹、皱纹;耐腐蚀性：100h内，观察在溶剂中样板上划道两侧 3mm 以外，应无鼓泡产生;100h后，检查划道两侧 3mm 以外，应无锈迹、剥落、起皱、变色和失光等现象；附着力：应不低于 2 级；</w:t>
            </w:r>
          </w:p>
          <w:p w14:paraId="2B2FA0F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1.1.4金属件耐腐蚀：金属件表面漆膜乙酸盐雾≥400h；</w:t>
            </w:r>
          </w:p>
          <w:p w14:paraId="50DDA4F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1.1.5燃烧性能 A 级（A1）</w:t>
            </w:r>
          </w:p>
          <w:p w14:paraId="74084FA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1.1.6力学性能：桌类强度和耐久性：主桌面垂直静载荷、桌面持续垂直静载荷、水平静载荷、桌腿跌落、桌面水平耐久性：合格；</w:t>
            </w:r>
          </w:p>
          <w:p w14:paraId="43740FC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桌类稳定性：垂直加载稳定性</w:t>
            </w:r>
          </w:p>
          <w:p w14:paraId="1C070B7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1.1.7拉门耐久性 (≥32万次)：合格；</w:t>
            </w:r>
          </w:p>
          <w:p w14:paraId="08C3B44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1.1.8产品有害物质：甲醛释放量≤0.05mg/m³ , 苯≤0.05mg/m³ , 甲苯≤0.1mg/m³ , 二甲苯≤0.1mg/m³ , 总挥发性有机化合物(TV0C)≤0.3mg/m³；</w:t>
            </w:r>
          </w:p>
          <w:p w14:paraId="0B89C2A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1.1.9耐人工气候老化性：≥400h，变色等级、粉化等级、开裂等级、气（或起）泡等级：符合要求，合格；</w:t>
            </w:r>
          </w:p>
          <w:p w14:paraId="2B5E29F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1.1.10金属材料性能-电解钢板：覆盖层厚度≥40μm；弯曲性能：弯曲外表面无可见裂纹；平均晶粒度≥5级；粗糙度：样品表面粗糙度应优于Ral.6；维氏硬度（基材）：HV1≥80；交变湿热：总时长≥400h；</w:t>
            </w:r>
          </w:p>
          <w:p w14:paraId="5C19F1C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1.1.11护士站抗菌要求：抗菌要求：大肠杆菌、金黄色葡萄球菌、白色葡萄球菌、表皮葡萄球菌、枯草芽孢杆菌、类白喉杆菌、变形链球菌、单增李斯特氏菌等的抗菌率&gt;99%；</w:t>
            </w:r>
          </w:p>
          <w:p w14:paraId="7AA0747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1.1.12护士站防霉要求：防霉要求：黑曲霉、黄曲霉、短柄帚霉、树脂子囊菌、绿色粘帚霉、光孢短梗帚霉、赭绿青霉、杂色曲霉等霉菌检测结果不生长，等级为0级）。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2.主体材质：龙骨部分采用1.5mm的电解钢板折弯成型 ，主体框架部分采用1.5mm电解钢板数 控折弯焊接成型，面板采用1.0mm厚电解板制作，表面采用环保室内型环氧树脂静电粉末喷 涂，踢脚线部分采用0.8mm厚304油磨拉丝不锈钢板制作，高120mm。</w:t>
            </w:r>
          </w:p>
          <w:p w14:paraId="01F3C06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2.1电解钢板：</w:t>
            </w:r>
          </w:p>
          <w:p w14:paraId="31F969F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2.1.1耐腐蚀；</w:t>
            </w:r>
          </w:p>
          <w:p w14:paraId="2D4507C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2.1.2外观性能要求：金属件：喷涂层：涂层应无漏喷、锈蚀和脱色、掉色现象；涂层应光滑均匀，色泽一致，应无流挂、疙瘩、皱皮、飞漆等缺陷；</w:t>
            </w:r>
          </w:p>
          <w:p w14:paraId="6387FDA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2.1.3理化性能-金属喷漆(塑)涂层：硬度≥H；</w:t>
            </w:r>
          </w:p>
          <w:p w14:paraId="2C5C2A6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2.1.4理化性能-金属电镀层：抗盐雾：18h，直径1.5mm以下的锈点≤20/d㎡，其中直径1.0mm以上的锈点不超过5点( 离边缘2mm以内不计)；</w:t>
            </w:r>
          </w:p>
          <w:p w14:paraId="2604FDE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2.1.5力学性能(室温拉伸)：抗拉强度Rm：370~500MPa、上屈服强度ReH≥235MPa、断后伸长率A≥26%；</w:t>
            </w:r>
          </w:p>
          <w:p w14:paraId="3B7836D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2.1.6燃烧性能A1级；</w:t>
            </w:r>
          </w:p>
          <w:p w14:paraId="7A5765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2.2电解钢板喷涂样板：</w:t>
            </w:r>
          </w:p>
          <w:p w14:paraId="7103743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2.2.1乙酸盐雾(≥400h)≥10级；</w:t>
            </w:r>
          </w:p>
          <w:p w14:paraId="064602D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2.2.2覆盖层厚度≥80μm；</w:t>
            </w:r>
          </w:p>
          <w:p w14:paraId="0FDA727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2.2.3耐腐蚀性能。</w:t>
            </w:r>
          </w:p>
          <w:p w14:paraId="4D450E3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2.2.4抗菌要求：抗菌要求：大肠杆菌、金黄色葡萄球菌、白色葡萄球菌、表皮葡萄球菌、枯草芽孢杆菌、类白喉杆菌、变形链球菌、单增李斯特氏菌等的抗菌率&gt;99%；</w:t>
            </w:r>
          </w:p>
          <w:p w14:paraId="0E03793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2.2.5防霉要求：防霉要求：黑曲霉、黄曲霉、短柄帚霉、树脂子囊菌、绿色粘帚霉、光孢短梗帚霉、赭绿青霉、杂色曲霉等霉菌检测结果不生长，等级为0级）。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3.台面：台面及外包采用材质为医用级复合亚克力人造石 ，材料厚度1.2cm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4.五金配置：ABS内扣拉手、叶片转舌锁、三节卡扣式导轨，可根据需要配备主机柜、键盘 架、三抽柜、资料柜等配柜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5.工艺：柜台内预留的强弱电走线槽位 ，护士站内的内饰盖板全部为可拆卸式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E6A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B51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16.27</w:t>
            </w:r>
          </w:p>
        </w:tc>
      </w:tr>
      <w:tr w14:paraId="1847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CC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71E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护士站柜台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180F5">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规格尺寸（mm）：主体（L型）L*750*750（长*宽*高），医用下台面L*750*45，外包装饰人造石（半包）L*630*12,不锈钢踢脚线L*120*0.8mm（长*高*材料厚度）</w:t>
            </w:r>
          </w:p>
          <w:p w14:paraId="0F1D9CB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（1.1环保护士站三抽柜（抽屉柜）：</w:t>
            </w:r>
          </w:p>
          <w:p w14:paraId="27EF862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1.1.1形状与位置公差：邻边垂直度-对角线长度、邻边垂直度-对边长度、平整度、位差度、分缝：合格；</w:t>
            </w:r>
          </w:p>
          <w:p w14:paraId="35A3B40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1.1.2外观性能要求：金属件：焊接件、冲压件、喷涂层：合格；塑料件：合格；配件：锁定脚轮的锁定装置完好，所有脚轮在开锁状态下应运动灵活；</w:t>
            </w:r>
          </w:p>
          <w:p w14:paraId="1ED68CE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1.1.3金属喷漆（塑）涂层：硬度：≥H；冲击强度：冲击高度 400mm，应无剥落、裂纹、皱纹；耐腐蚀性：100h内，观察在溶剂中样板上划道两侧 3mm 以外，应无鼓泡产生；100h后，检查划道两侧 3mm 以外，应无锈迹、剥落、起皱、变色和失光等现象；附着力：应不低于 2 级；</w:t>
            </w:r>
          </w:p>
          <w:p w14:paraId="27CB67B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1.1.4金属件耐腐蚀：金属件表面漆膜乙酸盐雾≥400h</w:t>
            </w:r>
          </w:p>
          <w:p w14:paraId="7D4D975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1.1.5燃烧性能 A 级（A1）；</w:t>
            </w:r>
          </w:p>
          <w:p w14:paraId="480E2D4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1.1.6力学性能：柜类强度和耐久性：结构和底架强度、 跌落、脚轮往复、推拉构件强度、推拉构件耐久性（加载：推拉构件净空体积×0.35kg/dm³ ,≥16万次 ）、推拉构件猛开、推拉构件结构强度：合格；柜类稳定性：活动部件关闭时的空载稳定性：应无倾翻现象；活动部件打开时的空载稳定性：应无倾翻现象；活动部件关闭时的加载稳定性：应无倾翻现象；活动部件打开时的加载稳定性：应无倾翻现象；</w:t>
            </w:r>
          </w:p>
          <w:p w14:paraId="4D2E110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1.1.7产品有害物质：甲醛释放量、 苯、 甲苯、二甲苯、总挥发性有机化合物(TV0C)：合格； 家具涂层可迁移元素：铅(Pb)、镉、铬(Cr)、汞(Hg) 、锑(Sb)、钡(Ba)、硒(Se)、砷(As)：合格；</w:t>
            </w:r>
          </w:p>
          <w:p w14:paraId="512B909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1.1.8多环芳烃：苯并[α]芘≤1.0mg/kg，16 种多环芳烃(PAH）总量≤10mg/kg；</w:t>
            </w:r>
          </w:p>
          <w:p w14:paraId="146DF60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1.1.9多溴联苯(PBB）≤1000mg/kg；</w:t>
            </w:r>
          </w:p>
          <w:p w14:paraId="3610EB0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1.1.10多溴二苯醚(PBDE)≤1000mg/kg；</w:t>
            </w:r>
          </w:p>
          <w:p w14:paraId="7835F75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1.1.11耐人工气候老化性：≥400h，变色等级、粉化等级、开裂等级、气（或起）泡等级：符合要求，合格；</w:t>
            </w:r>
          </w:p>
          <w:p w14:paraId="2506197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1.1.12塑料脚轮：邵氏硬度（邵A）≥20；氧化诱导时间：≥1min；</w:t>
            </w:r>
          </w:p>
          <w:p w14:paraId="0BC30D9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1.1.13金属材料性能-电解钢板：覆盖层厚度≥40μm；弯曲性能：弯曲外表面无可见裂纹；平均晶粒度≥5级；粗糙度：样品表面粗糙度应优于Ral.6；维氏硬度（基材）：HV1≥80；交变湿热：总时长≥400h；</w:t>
            </w:r>
          </w:p>
          <w:p w14:paraId="5E9F177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1.2环保护士站配柜（主机柜）：</w:t>
            </w:r>
          </w:p>
          <w:p w14:paraId="7758306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1.2.1形状与位置公差：邻边垂直度-对角线长度、邻边垂直度-对边长度、平整度、位差度、分缝、着地平稳性：合格；</w:t>
            </w:r>
          </w:p>
          <w:p w14:paraId="5806A31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1.2.2外观性能要求：金属件：焊接件、冲压件、喷涂层：合格；塑料件：合格；配件：家具锁锁定到位，开启应灵活；锁定脚轮的锁定装置完好，所有脚轮在开锁状态下应运动灵活；</w:t>
            </w:r>
          </w:p>
          <w:p w14:paraId="2B331F5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1.2.3金属喷漆（塑）涂层：硬度：≥H；冲击强度：冲击高度 400mm，应无剥落、裂纹、皱纹；耐腐蚀性：100h内，观察在溶剂中样板上划道两侧3mm以外，应无鼓泡产生；100h后，检查划道两侧3mm以外，应无锈迹、剥落、起皱、变色和失光等现象；附着力：应不低于2级；</w:t>
            </w:r>
          </w:p>
          <w:p w14:paraId="2224F61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1.2.4金属件耐腐蚀：金属件表面漆膜乙酸盐雾≥400h；</w:t>
            </w:r>
          </w:p>
          <w:p w14:paraId="0665962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1.2.5燃烧性能A级（A1）；</w:t>
            </w:r>
          </w:p>
          <w:p w14:paraId="3532053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1.2.6力学性能：柜类强度和耐久性：结构和底架强度、跌落、脚轮往复、推拉构件强度、推拉构件耐久性（加载：推拉构件净空体积×0.35kg/dm³,≥16万次）、推拉构件猛开、推拉构件结构强度：合格；柜类稳定性：活动部件关闭时的空载稳定性：应无倾翻现象；活动部件打开时的空载稳定性：应无倾翻现象；活动部件关闭时的加载稳定性：应无倾翻现象；活动部件打开时的加载稳定性：应无倾翻现象；</w:t>
            </w:r>
          </w:p>
          <w:p w14:paraId="06D912E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1.2.7产品有害物质：甲醛释放量、 苯、 甲苯、 二甲苯、总挥发性有机化合物(TV0C)：合格； 家具涂层可迁移元素：铅、镉、铬、汞、锑、钡、硒、砷：合格；</w:t>
            </w:r>
          </w:p>
          <w:p w14:paraId="3956958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1.2.8多环芳烃：苯并[α]芘≤1.0mg/kg，16 种多环芳烃(PAH）总量≤10mg/kg；</w:t>
            </w:r>
          </w:p>
          <w:p w14:paraId="03991DD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1.2.9多溴联苯(PBB）≤1000mg/kg；</w:t>
            </w:r>
          </w:p>
          <w:p w14:paraId="709AD7E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1.2.10多溴二苯醚(PBDE)≤1000mg/kg；</w:t>
            </w:r>
          </w:p>
          <w:p w14:paraId="54B62E8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1.2.11耐人工气候老化性(≥400h)：500h，变色等级、粉化等级、开裂等级、气（或起）泡等级：符合要求，合格；</w:t>
            </w:r>
          </w:p>
          <w:p w14:paraId="0B86310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1.2.12塑料脚轮：邵氏硬度（邵A）≥20；氧化诱导时间：≥1min；</w:t>
            </w:r>
          </w:p>
          <w:p w14:paraId="2B65E1E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金属材料性能-电解钢板：覆盖层厚度≥40μm；弯曲性能：弯曲外表面无可见裂纹；平均晶粒度≥5级；粗糙度：样品表面粗糙度应优于Ral.6；维氏硬度（基材）：HV1≥80；交变湿热：总时长≥400h；</w:t>
            </w:r>
          </w:p>
          <w:p w14:paraId="3E68615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1.3钢制键盘架（键盘托台）：</w:t>
            </w:r>
          </w:p>
          <w:p w14:paraId="7FCDA30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1.3.1形状与位置公差：邻边垂直度-对角线长度、邻边垂直度-对边长度、平整度、位差度、分缝、下垂度、摆动度、着地平稳性：合格；</w:t>
            </w:r>
          </w:p>
          <w:p w14:paraId="4B3374C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1.3.2外观性能要求：金属件：焊接件、冲压件、铆接件、喷涂层：合格；</w:t>
            </w:r>
          </w:p>
          <w:p w14:paraId="3EBE8C5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1.3.3安全性能要求：结构安全：合格；</w:t>
            </w:r>
          </w:p>
          <w:p w14:paraId="026C496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1.3.4产品表面涂饰层/覆面材料理化性能：金属喷漆（塑）涂层：硬度：≥H；冲击强度:冲击高度 400mm，应无剥落、裂纹、皱纹;耐腐蚀性:100h内，观察在溶剂中样板上划道两侧 3mm 以外，应无鼓泡产生；100h后，检查划道两侧 3mm 以外，应无锈迹、剥落、起皱、变色和失光等现象；附着力:应不低于 2 级；</w:t>
            </w:r>
          </w:p>
          <w:p w14:paraId="0D022AC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1.3.5力学性能：柜类强度和耐久性：结构和底架强度、跌落、推拉构件强度、推拉构件耐久性（加载：推拉构件净空体积×0.35kg/dm³,≥16万次）、推拉构件猛开、推拉构件结构强度：合格；柜类稳定性：活动部件关闭时的空载稳定性：应无倾翻现象；活动部件打开时的空载稳定性：应无倾翻现象；活动部件关闭时的加载稳定性：应无倾翻现象；活动部件打开时的加载稳定性：应无倾翻现象；</w:t>
            </w:r>
          </w:p>
          <w:p w14:paraId="3A0BD67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1.3.6产品有害物质：甲醛释放量、苯、甲苯、 二甲苯、总挥发性有机化合物(TV0C)：合格； 家具涂层可迁移元素：铅、镉、铬、汞、锑、钡、硒、砷：合格；</w:t>
            </w:r>
          </w:p>
          <w:p w14:paraId="6BD52D5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1.3.7耐人工气候老化性:≥400h，变色等级、粉化等级、开裂等级、气（或起）泡等级：符合要求，合格。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2.主体材质：龙骨部分采用1.5mm的电解钢板折弯成型 ，主体框架部分采用1.5mm电解钢板数 控折弯焊接成型，面板采1.0mm厚电解板制作，表面采用环保室内型环氧树脂静电粉末喷 涂，踢脚线部分采用0.8mm厚304油磨拉丝不锈钢板制作。</w:t>
            </w:r>
          </w:p>
          <w:p w14:paraId="22998CC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粉末：2.1容器中状态：色泽均匀，无异物，呈松散粉末状；2.2筛余物(125um)：全部通过；2.3硬度(擦伤)：≥2H；2.4附着力，级：≤1；2.5耐冲击性；2.6弯曲：2mm；2.7耐碱性(5%Na0H)：168h无异常；2.8耐酸性(3%HC1)：240h无异常；2.9耐沸水性：48h无异常；2.10耐湿热性：≥400h无异常；2.11耐盐雾性：≥400h划线处： 单向锈蚀≤2.0mm 未划线区：无异常；2.12漆膜厚度：≥60μm；2.13可溶性重金属：铅Pb：≤90mg/kg；镉Cd：≤75mg/kg；铬Cr：≤60mg/kg；汞Hg：≤60mg/kg；2.14挥发性有机化合物（VOC）含量≤10；2.15粉末抗菌要求：抗菌要求：大肠杆菌、金黄色葡萄球菌、白色葡萄球菌、表皮葡萄球菌、枯草芽孢杆菌、类白喉杆菌、变形链球菌、单增李斯特氏菌等的抗菌率&gt;99%；2.16粉末防霉要求：防霉要求：黑曲霉、黄曲霉、短柄帚霉、树脂子囊菌、绿色粘帚霉、光孢短梗帚霉、赭绿青霉、杂色曲霉等霉菌检测结果不生长，等级为0级；304 不锈钢板：2.17化学成分（%）：碳（C）≤0.08、硅(Si)≤1.00、锰(Mn)≤2.00、磷(P)≤0.045、硫(S)≤0.030、铬(Cr)18.00-0.20~20.00、镍(Ni)8. 00~11.00；2.18外观性能要求：金属件：电镀层：电镀层表面应无剥落、返锈、毛刺；电镀层表面应无烧焦、起泡、针孔、裂纹、花斑和划痕；2.19弯曲性能：弯心直径∶5mm，弯曲角度∶180°；2.20理化指标（不锈钢的迁移物指标）：砷(As)≤0.04mg/kg、镉(Cd)≤0.02mg/kg、铅(Pb)≤0.05mg/kg、铬(Cr)≤2.0mg/kg、镍(Ni)≤0.5mg/kg；2.21耐腐蚀性能</w:t>
            </w:r>
          </w:p>
          <w:p w14:paraId="354066C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3.台面：台面及外包采用材质为医用级复合亚克力人造石 ，材料厚度1.2cm。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4.五金配置：ABS内扣拉手、叶片转舌锁、三节卡扣式导轨，可根据需要配备主机柜、键盘 架、三抽柜、资料柜等配柜。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5.工艺：护士站内预留的强弱电走线槽位 。护士站内的内饰盖板全部为可拆卸式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314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501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440</w:t>
            </w:r>
          </w:p>
        </w:tc>
      </w:tr>
      <w:tr w14:paraId="528B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43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927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医用环保治疗柜台（核心产品）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35F12">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尺寸（mm）：医用存放柜（上）L*350*600（长*宽*高），医用背架+层板L*350*2000,医用环保治疗柜（下）L*600*850（长*宽*高），医用台面L*600*45,踢脚线L*150*0.8（长*高*材料厚度）,每个房间配备不锈钢水施水龙头各一套，共计58套。</w:t>
            </w:r>
          </w:p>
          <w:p w14:paraId="4DA3689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（1.1医用环保吊柜（治疗柜上柜）：</w:t>
            </w:r>
          </w:p>
          <w:p w14:paraId="426C196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1.1.1形状与位置公差：邻边垂直度-对角线长度、邻边垂直度-对边长度、平整度、位差度、分缝、着地平稳性：合格；</w:t>
            </w:r>
          </w:p>
          <w:p w14:paraId="1CC7710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1.1.2外观性能要求：金属件：焊接件、冲压件、喷涂层：合格；塑料件：合格；</w:t>
            </w:r>
          </w:p>
          <w:p w14:paraId="35394A0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1.1.3金属喷漆（塑）涂层：硬度：≥H;冲击强度:冲击高度 400mm，应无剥落、裂纹、皱纹;耐腐蚀性:100h内，观察在溶剂中样板上划道两侧 3mm 以外，应无鼓泡产生；100h后，检查划道两侧 3mm 以外，应无锈迹、剥落、起皱、变色和失光等现象；附着力:应不低于 2 级；</w:t>
            </w:r>
          </w:p>
          <w:p w14:paraId="7999811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1.1.4金属件耐腐蚀:金属件表面漆膜乙酸盐雾≥400h；</w:t>
            </w:r>
          </w:p>
          <w:p w14:paraId="272556C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1.1.5燃烧性能 A 级（A1）；</w:t>
            </w:r>
          </w:p>
          <w:p w14:paraId="3E56E28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1.1.6力学性能：柜类强度和耐久性：搁板定位、搁板弯曲、搁板支承件强度、顶板持续加载、拉门垂直加载、拉门水平加载、拉门猛关、拉门耐久性（≥32万次）：合格；</w:t>
            </w:r>
          </w:p>
          <w:p w14:paraId="09FA7AE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1.1.7产品有害物质：甲醛释放量、苯、甲苯、 二甲苯、总挥发性有机化合物(TV0C)：合格³； 家具涂层可迁移元素：铅、镉、铬、汞、锑、钡、硒、砷：合格；</w:t>
            </w:r>
          </w:p>
          <w:p w14:paraId="740EB8D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1.1.8多环芳烃：苯并[α]芘≤1.0mg/kg，16种多环芳烃(PAH）总量≤10mg/kg；</w:t>
            </w:r>
          </w:p>
          <w:p w14:paraId="28D637E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1.1.9多溴联苯(PBB）≤1000mg/kg；</w:t>
            </w:r>
          </w:p>
          <w:p w14:paraId="14968CA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1.1.10多溴二苯醚(PBDE)≤1000mg/kg；</w:t>
            </w:r>
          </w:p>
          <w:p w14:paraId="087CE39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1.1.11耐人工气候老化性:≥400h，变色等级、粉化等级、开裂等级、气（或起）泡等级：符合要求，合格；</w:t>
            </w:r>
          </w:p>
          <w:p w14:paraId="14EEAF9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1.2医用环保治疗柜：</w:t>
            </w:r>
          </w:p>
          <w:p w14:paraId="79231B2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1.2.1形状与位置公差：邻边垂直度-对角线长度、邻边垂直度-对边长度、平整度、位差度、分缝、着地平稳性：合格；</w:t>
            </w:r>
          </w:p>
          <w:p w14:paraId="534CA76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1.2.2外观性能要求：金属件：焊接件、冲压件、喷涂层：合格；塑料件：合格；</w:t>
            </w:r>
          </w:p>
          <w:p w14:paraId="2539D5D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1.2.3金属喷漆（塑）涂层：硬度：≥H；冲击强度：冲击高度 400mm，应无剥落、裂纹、皱纹；耐腐蚀性：100h内，观察在溶剂中样板上划道两侧 3mm 以外，应无鼓泡产生；100h后，检查划道两侧 3mm 以外，应无锈迹、剥落、起皱、变色和失光等现象；附着力：应不低于 2 级；</w:t>
            </w:r>
          </w:p>
          <w:p w14:paraId="1EA2AD1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1.2.4金属件耐腐蚀：金属件表面漆膜乙酸盐雾≥400h。</w:t>
            </w:r>
          </w:p>
          <w:p w14:paraId="0945A40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1.2.5燃烧性能 A 级（A1）；</w:t>
            </w:r>
          </w:p>
          <w:p w14:paraId="0A49C2D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1.2.6力学性能：柜类强度和耐久性：搁板定位、搁板弯曲、搁板支承件强度、结构和底架强度、跌落、拉门垂直加载、拉门水平加载、拉门猛关、拉门耐久性（≥32万次）：合格；</w:t>
            </w:r>
          </w:p>
          <w:p w14:paraId="5D98AEF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1.2.7产品有害物质：甲醛释放量、 苯、甲苯、二甲苯、总挥发性有机化合物(TV0C):合格；家具涂层可迁移元素：铅(Pb)、镉(Cd)、铬(Cr)、汞(Hg)、锑(Sb)、钡(Ba)、硒(Se)、砷(As)：合格；</w:t>
            </w:r>
          </w:p>
          <w:p w14:paraId="4D6B218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1.2.8多环芳烃：苯并[α]芘≤0.5mg/kg，16 种多环芳烃(PAH）总量≤10mg/kg；</w:t>
            </w:r>
          </w:p>
          <w:p w14:paraId="3CBF572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1.2.9多溴联苯≤1000mg/kg；</w:t>
            </w:r>
          </w:p>
          <w:p w14:paraId="2367A9D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1.2.10多溴联苯醚≤1000mg/kg；</w:t>
            </w:r>
          </w:p>
          <w:p w14:paraId="158356D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1.2.11耐人工气候老化性：≥400h，变色等级、粉化等级、开裂等级、气（或起）泡等级：符合要求，合格；</w:t>
            </w:r>
          </w:p>
          <w:p w14:paraId="25870EF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1.2.12金属材料性能-电解钢板：覆盖层厚度≥40μm；弯曲性能：弯曲外表面无可见裂纹；平均晶粒度≥5级；粗糙度：样品表面粗糙度应优于Ral.6；维氏硬度（基材）：HV1≥80；交变湿热：总时长≥400h；</w:t>
            </w:r>
          </w:p>
          <w:p w14:paraId="72C077A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1.2.13治疗处置柜抗菌要求：抗菌要求：大肠杆菌、金黄色葡萄球菌、白色葡萄球菌、表皮葡萄球菌、枯草芽孢杆菌、类白喉杆菌、变形链球菌、单增李斯特氏菌的抗菌率&gt;99%；</w:t>
            </w:r>
          </w:p>
          <w:p w14:paraId="2BE6730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1.2.14治疗处置柜防霉要求：防霉要求：黑曲霉、黄曲霉、短柄帚霉、树脂子囊菌、绿色粘帚霉、光孢短梗帚霉、赭绿青霉、杂色曲霉等霉菌检测结果不生长，等级为0级；</w:t>
            </w:r>
          </w:p>
          <w:p w14:paraId="3AF67D0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1.3医用环保输液柜：</w:t>
            </w:r>
          </w:p>
          <w:p w14:paraId="32B982E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1.3.1形状与位置公差：邻边垂直度-对角线长度、邻边垂直度-对边长度、翘曲度、平整度、位差度、下垂度：抽屉≤20mm、摆动度：抽屉≤15mm、着地平稳性：合格；</w:t>
            </w:r>
          </w:p>
          <w:p w14:paraId="6C32323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1.3.2外观性能要求：金属件-喷涂层：合格；塑料件：合格；玻璃件：合格；</w:t>
            </w:r>
          </w:p>
          <w:p w14:paraId="3258201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1.3.3安全性能要求：结构安全：合格；</w:t>
            </w:r>
          </w:p>
          <w:p w14:paraId="32931CA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1.3.4金属喷漆（塑）涂层：硬度≥H；冲击强度：冲击高度400mm，应无剥落、裂纹、皱纹；耐腐蚀：100h内，观察在溶剂中样板上划道两侧3mm以外，应无鼓泡产生；100h后，检查划道两侧3mm以外，应无锈迹、剥落、起皱、变色和失光等现象；附着力：应不低于2级；</w:t>
            </w:r>
          </w:p>
          <w:p w14:paraId="5ABAFB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1.3.5力学性能：柜类强度和耐久性：结构和底架强度、跌落、拉门垂直加载、拉门水平加载、拉门猛关、推拉构件强度、推拉构件结构强度、推拉构件猛开、推拉构件耐久性：合格</w:t>
            </w:r>
          </w:p>
          <w:p w14:paraId="550BAE0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柜类稳定性：活动部件关闭时的空载稳定性、活动部件打开时的空载稳定性、活动部件关闭时的加载稳定性、活动部件打开时的加载稳定性：应无倾翻现象。</w:t>
            </w:r>
          </w:p>
          <w:p w14:paraId="6FC6504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1.3.6产品寿命：柜类拉门耐久性（≥8万次）：合格</w:t>
            </w:r>
          </w:p>
          <w:p w14:paraId="7FCA08F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1.3.7产品有害物质：甲醛释放量、苯、甲苯、二甲苯、总挥发性有机化合物(TV0C)：合格；家具涂层可迁移元素：铅、镉、铬、汞、锑、钡、硒、砷：合格；苯并（a）芘：≤0.5；</w:t>
            </w:r>
          </w:p>
          <w:p w14:paraId="3A6BCFC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1.4水槽:1.4.1涂层耐腐蚀等级≥9 级；1.4.2邻苯二甲酸酯，%：DBP≤0.1，BBP≤0.1，DEHP≤0.1，DNOP≤0.1，DINP≤0.1，DIDP≤0.1；1.4.3重金属：可溶性铅≤90mg/kg，可溶性镉≤75mg/kg，可溶性铬≤60mg/kg，可溶性汞≤60mg/kg；</w:t>
            </w:r>
          </w:p>
          <w:p w14:paraId="252B5C7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1.5水龙头：1.5.1涂层或镀层的耐腐蚀等级≥9级；1.5.2产品有害物质：甲醛释放量≤0.05mg/m³, 苯≤0.05mg/m³, 甲苯≤0.1mg/m³, 二甲苯≤0.1mg/m³, 总挥发性有机化合物(TV0C)≤0.3mg/m³）。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2.主体材质：龙骨部分采用1.5mm的电解钢板折弯成型 ，主体框架部分采用1.5mm电解钢板数 控折弯焊接成型，面板采1.0mm厚电解板制作，表面采用环保室内型环氧树脂静电粉末喷涂，踢脚线部分采用0.8mm厚304油磨拉丝不锈钢板制作。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3.台面：台面及外包采用材质为医用级复合亚克力人造石 ，材料厚度1.2cm。</w:t>
            </w:r>
          </w:p>
          <w:p w14:paraId="0ABAC82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用级复合亚克力人造石：3.1巴氏硬度：≥65；3.2载荷变形：Ⅰ型实体面材最大残余挠度值≤0.25mm；3.3冲击韧性：≥4.0kJ/㎡；3.4落球冲击：450g实心钢球，冲击高度不低于1200mm，样品不破损；3.5弯曲性能：弯曲强度≥40Mpa，弯曲弹性模量：≥6.5GPa；3.6耐磨性：≤0.6g；3.7线性热膨胀系数：≤5.0（单位：10-5℃-1）；3.8耐污染性：耐污值总和：≤64；最大污迹深度：≤0.12mm；3.9耐化学药品性：试样表面应无明显损伤，轻度损伤用600目砂纸轻擦即可除去，损伤程度应不影响板材的使用性，并易恢复至原状；3.10耐高温性：试样表面应无破裂、裂缝或鼓泡等显著影响；3.11铅笔硬度≥4H；</w:t>
            </w:r>
          </w:p>
          <w:p w14:paraId="2388F82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3.12医用复合亚克力人造石抗菌要求：抗菌要求：大肠杆菌、金黄色葡萄球菌、白色葡萄球菌、表皮葡萄球菌、枯草芽孢杆菌、类白喉杆菌、变形链球菌、单增李斯特氏菌等的抗菌率&gt;99%；</w:t>
            </w:r>
          </w:p>
          <w:p w14:paraId="06328EF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3.13医用复合亚克力人造石防霉要求：防霉要求：黑曲霉、黄曲霉、光孢短梗帚霉、赭绿青霉、杂色曲霉、帚状曲霉、支孢样支孢霉等霉菌检测结果不生长，等级为0级。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4.五金配置：ABS内扣拉手、叶片转舌锁、三节卡扣式导轨，可根据需要配备主机柜、键盘 架、三抽柜、资料柜等配柜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5.工艺：护士站内预留的强弱电走线槽位。护士站内的内饰盖板全部为可拆卸式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6.包含输液柜、高危药品柜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F67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AA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406</w:t>
            </w:r>
          </w:p>
        </w:tc>
      </w:tr>
      <w:tr w14:paraId="3FAC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3C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8EB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医用环保处置柜 （ 垃圾柜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5B0FE">
            <w:pPr>
              <w:keepNext w:val="0"/>
              <w:keepLines w:val="0"/>
              <w:widowControl/>
              <w:numPr>
                <w:ilvl w:val="0"/>
                <w:numId w:val="14"/>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规格尺寸（mm）:处置柜（下）L*600*850，医用台面L*600*45,不锈钢踢脚线L*150*0.8（长*高*材料厚度）,每个房间配置不锈钢水池、水龙头各一套，共计39套。</w:t>
            </w:r>
          </w:p>
          <w:p w14:paraId="1775DC5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（1.1医用环保处置柜（垃圾柜）：</w:t>
            </w:r>
          </w:p>
          <w:p w14:paraId="34A308F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1.1.1形状与位置公差：邻边垂直度-对角线长度、邻边垂直度-对边长度、平整度、位差度、分缝：合格；着地平稳性：底脚与水平面的差值≤2.0mm</w:t>
            </w:r>
          </w:p>
          <w:p w14:paraId="349E5D5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1.1.2外观性能要求：金属件：焊接件、冲压件、喷涂层：合格；塑料件：合格；</w:t>
            </w:r>
          </w:p>
          <w:p w14:paraId="59FA020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1.1.3金属喷漆（塑）涂层：硬度：≥H；冲击强度：冲击高度 400mm，应无剥落、裂纹、皱纹；耐腐蚀性：100h内，观察在溶剂中样板上划道两侧 3mm 以外，应无鼓泡产生；100h后，检查划道两侧 3mm 以外，应无锈迹、剥落、起皱、变色和失光等现象；附着力：应不低于 2 级；</w:t>
            </w:r>
          </w:p>
          <w:p w14:paraId="42ABFA7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1.1.4金属件耐腐蚀：金属件表面漆膜乙酸盐雾≥400h；</w:t>
            </w:r>
          </w:p>
          <w:p w14:paraId="3B4B201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1.1.5燃烧性能 A 级（A1）；</w:t>
            </w:r>
          </w:p>
          <w:p w14:paraId="5BFB445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1.1.6力学性能：柜类强度和耐久性：结构和底架强度、跌落、拉门垂直加载、拉门水平加载、拉门猛关、拉门耐久性(≥16万次)：合格；</w:t>
            </w:r>
          </w:p>
          <w:p w14:paraId="5ECF4A9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1.1.7产品有害物质：甲醛释放量、苯、甲苯、 二甲苯、总挥发性有机化合物(TV0C)：合格； </w:t>
            </w:r>
          </w:p>
          <w:p w14:paraId="2ABCAAD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1.1.8耐人工气候老化性：≥400h，变色等级、粉化等级、开裂等级、气（或起）泡等级：符合要求，合格；</w:t>
            </w:r>
          </w:p>
          <w:p w14:paraId="0B93B52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1.1.9ABS垃圾桶防霉：防霉要求：黑曲霉、球毛壳霉、宛氏拟青霉、绳状青霉、长枝木霉、赭绿青霉、杂色曲霉、帚状曲霉等霉菌检测结果不生长，等级为0级；</w:t>
            </w:r>
          </w:p>
          <w:p w14:paraId="7FE19E8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1.1.10缓冲垃圾盖防霉：防霉要求：黑曲霉、球毛壳霉、宛氏拟青霉、绳状青霉、长枝木霉、赭绿青霉、杂色曲霉、帚状曲霉等霉菌检测结果不生长，等级为0级）。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2.主体材质：采用厚度1.0mm电解钢板制作，表面采用环保室内型环氧树脂静电粉末喷涂，踢脚线部分采0.8mm厚304油磨拉丝不锈钢板制作；所有下柜底部都是离地150mm的高度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3.台面：台面采用材质为医用级复合亚克力人造石 ，材料厚度1.2cm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4.水龙头：采用高抛水龙头，水槽：采用304不锈钢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5.五金配件：叶片转舌锁、三节卡口式导轨，缓冲铰链、下柜采用一体折弯拉手 </w:t>
            </w:r>
          </w:p>
          <w:p w14:paraId="7C28312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t>5.1</w:t>
            </w:r>
            <w:r>
              <w:rPr>
                <w:rFonts w:hint="eastAsia" w:ascii="宋体" w:hAnsi="宋体" w:eastAsia="宋体" w:cs="宋体"/>
                <w:i w:val="0"/>
                <w:iCs w:val="0"/>
                <w:color w:val="000000"/>
                <w:kern w:val="0"/>
                <w:sz w:val="24"/>
                <w:szCs w:val="24"/>
                <w:highlight w:val="none"/>
                <w:u w:val="none"/>
                <w:lang w:val="en-US" w:eastAsia="zh-CN" w:bidi="ar"/>
              </w:rPr>
              <w:t>滑轨（或导轨）：5.1.1耐腐蚀；5.1.2推拉构件耐久性：加载：推拉构件净空体积×0.35kg/dm3,≥16万次，合格；5.1.3外观性能要求：金属件：焊接件：焊接处应无脱焊、虛焊、焊穿、错位，焊接处应无夹渣、气孔、焊瘤、焊丝头、咬边、飞溅，焊疤表面波纹应均匀；喷涂层：涂层应无漏喷、锈蚀和脱色、掉色现象，涂层应光滑均匀，色泽一致，应无流挂、疙瘩、皱皮、飞漆等缺陷；</w:t>
            </w:r>
          </w:p>
          <w:p w14:paraId="45BDA99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5.2铰链（304 不锈钢缓冲）：5.2.1过载：垂直静载荷(30kg)：合格；水平静载荷( 70N)：合格；5.2.2功能：操作力：具有自动关闭装置的杯状暗铰链的关闭力：具有自动关闭装置的杯状暗铰链的关闭力应大于0.5N；具有自动关闭装置的杯状暗铰链的关闭力)：具有自动关闭装置的杯状暗铰链的关闭力应大于0.5N；垂直静载荷(20kg)：合格；水平静载荷(40N)：合格；耐久性(≥16万次)：合格；下沉量：A型门：下沉量不应大于2.0mm；5.3.3耐腐蚀</w:t>
            </w:r>
          </w:p>
          <w:p w14:paraId="56A1C9C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5.3锁具：5.3.1保密度：叶片锁钥匙不同牙花数、互开率：钥匙牙花：6个；互开率≤0.612%；5.3.2牢固度：锁头固定连接静拉力，锁头直径不小于20mm的，在承受200N静拉力后，应无松动；锁头直径小于20mm的 ,在承受140N静拉力后，应无松动； 弹子锁、叶片锁使用寿命，锁头直径不小于20mm的弹子锁、叶片锁，使用寿命不应少于20000次；5.3.3外观质量：锁头、钥匙：锁头、钥匙表面应平整光洁，商标字迹应清晰、端正；电镀件：电镀件外露表面应色泽均匀，不应有起泡、起层、露底等明显瑕疵；涂层件：涂层件外露表面应色泽均匀，不应有起泡、起层、露底等明显瑕疵；</w:t>
            </w:r>
          </w:p>
          <w:p w14:paraId="2AF9C51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6.工艺：整体采用电阻焊接工艺 ，采用双层门板设计，并且内有加强筋，提高门的使用寿命 。活动层板四边折弯，可自由调节高度，层板挂钩可自由拆卸，逐级调整高度。门框与柜体之间利用缓冲铰链，轻巧而方便。结构要求无死角，产品简洁大方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7.脚踏垃圾柜：轻巧带缓冲功能的ABS材质垃圾盖，抽拉式PP材质400*400*540mm±10mm垃圾桶，可根据科室需求选配功能柜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3B7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C1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275</w:t>
            </w:r>
          </w:p>
        </w:tc>
      </w:tr>
      <w:tr w14:paraId="754C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B6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D13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病房储物柜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FC1C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规格尺寸（mm）：720（长）*550（宽）*2200（高）,共计1424个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2.基材：台面采用E1级25mm厚三聚氰胺颗粒板，其它板材厚度为16mm，经过防虫、防腐的化学处理，强度、刚性好、不变形、比重合理</w:t>
            </w:r>
          </w:p>
          <w:p w14:paraId="2738CBA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三聚氰胺颗粒板（实木颗粒板）：理化性能：密度0.6～0.90g/cm³；含水率(%)3.0～13.0；静曲强度≥10.5MPa；弹性模量≥1500MPa；内结合强度≥0.30MPa；表面胶合强度≥0.60MPa；2h吸水厚度膨胀率(%)≤8.0；表面耐磨：磨耗值≤80mg/100r、素色：磨350 r以后应无露底现象；表面耐冷热循环无裂纹、鼓泡、变色、起皱等；表面耐香烟灼烧达到4级以上；表面耐干热达到4级以上；表面耐污染腐蚀：素色达到4级以上；表面耐划痕≥1.5N表面无大于90%的连续划痕；表面耐龟裂达到4级以上；表面耐水蒸气达到4级以上；甲醛释放量≤0.124mg/m³；2.2白乳胶（胶粘剂）：2.2.1游离甲醛≤1.0g/kg；2.2.2苯≤0.20g/kg；2.2.3甲苯+二甲苯≤10g/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3.封边：采用2.0mm厚PVC封边条，全自动封边机完成封边</w:t>
            </w:r>
          </w:p>
          <w:p w14:paraId="6A58A5C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（3.1封边条：3.1.1有害物质限量：氯乙烯单体≤5.0mg/kg，甲醛释放量≤1.5mg/L，邻苯二甲酸酯（DBP、BBP、DEHP、DNOP、DINP和DIDP）的总量≤0.1%；3.1.2铅、镉、铬、汞、砷、硒、钡、锑未检出）。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4.五金配件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99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70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1025.28</w:t>
            </w:r>
          </w:p>
        </w:tc>
      </w:tr>
    </w:tbl>
    <w:p w14:paraId="7F089CFA">
      <w:pPr>
        <w:jc w:val="center"/>
        <w:rPr>
          <w:rFonts w:hint="eastAsia"/>
          <w:highlight w:val="none"/>
          <w:lang w:val="en-US" w:eastAsia="zh-CN"/>
        </w:rPr>
      </w:pPr>
    </w:p>
    <w:p w14:paraId="2C535629">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719974D0">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第三标段</w:t>
      </w:r>
    </w:p>
    <w:tbl>
      <w:tblPr>
        <w:tblStyle w:val="2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1086"/>
        <w:gridCol w:w="7104"/>
        <w:gridCol w:w="457"/>
        <w:gridCol w:w="505"/>
      </w:tblGrid>
      <w:tr w14:paraId="0B78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14:paraId="79FCBA0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4785DA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3651" w:type="pct"/>
            <w:tcBorders>
              <w:top w:val="single" w:color="000000" w:sz="4" w:space="0"/>
              <w:left w:val="single" w:color="000000" w:sz="4" w:space="0"/>
              <w:bottom w:val="single" w:color="000000" w:sz="4" w:space="0"/>
              <w:right w:val="single" w:color="000000" w:sz="4" w:space="0"/>
            </w:tcBorders>
            <w:noWrap w:val="0"/>
            <w:vAlign w:val="center"/>
          </w:tcPr>
          <w:p w14:paraId="70F842B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技术参数</w:t>
            </w:r>
          </w:p>
        </w:tc>
        <w:tc>
          <w:tcPr>
            <w:tcW w:w="211" w:type="pct"/>
            <w:tcBorders>
              <w:top w:val="single" w:color="000000" w:sz="4" w:space="0"/>
              <w:left w:val="single" w:color="000000" w:sz="4" w:space="0"/>
              <w:bottom w:val="single" w:color="000000" w:sz="4" w:space="0"/>
              <w:right w:val="single" w:color="000000" w:sz="4" w:space="0"/>
            </w:tcBorders>
            <w:noWrap w:val="0"/>
            <w:vAlign w:val="center"/>
          </w:tcPr>
          <w:p w14:paraId="3C3C5B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14:paraId="60EE4D5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b/>
                <w:bCs/>
                <w:i w:val="0"/>
                <w:iCs w:val="0"/>
                <w:color w:val="000000"/>
                <w:sz w:val="24"/>
                <w:szCs w:val="24"/>
                <w:highlight w:val="none"/>
                <w:u w:val="none"/>
                <w:lang w:val="en-US" w:eastAsia="zh-CN"/>
              </w:rPr>
              <w:t>数量</w:t>
            </w:r>
          </w:p>
        </w:tc>
      </w:tr>
      <w:tr w14:paraId="1B56B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0" w:hRule="atLeast"/>
        </w:trPr>
        <w:tc>
          <w:tcPr>
            <w:tcW w:w="237" w:type="pct"/>
            <w:vMerge w:val="restart"/>
            <w:tcBorders>
              <w:top w:val="single" w:color="000000" w:sz="4" w:space="0"/>
              <w:left w:val="single" w:color="000000" w:sz="4" w:space="0"/>
              <w:bottom w:val="single" w:color="000000" w:sz="4" w:space="0"/>
              <w:right w:val="single" w:color="000000" w:sz="4" w:space="0"/>
            </w:tcBorders>
            <w:noWrap/>
            <w:vAlign w:val="center"/>
          </w:tcPr>
          <w:p w14:paraId="76A316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97" w:type="pct"/>
            <w:vMerge w:val="restart"/>
            <w:tcBorders>
              <w:top w:val="single" w:color="000000" w:sz="4" w:space="0"/>
              <w:left w:val="single" w:color="000000" w:sz="4" w:space="0"/>
              <w:bottom w:val="single" w:color="000000" w:sz="4" w:space="0"/>
              <w:right w:val="single" w:color="000000" w:sz="4" w:space="0"/>
            </w:tcBorders>
            <w:noWrap w:val="0"/>
            <w:vAlign w:val="center"/>
          </w:tcPr>
          <w:p w14:paraId="2180EE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磁共振</w:t>
            </w:r>
          </w:p>
        </w:tc>
        <w:tc>
          <w:tcPr>
            <w:tcW w:w="3651" w:type="pct"/>
            <w:vMerge w:val="restart"/>
            <w:tcBorders>
              <w:top w:val="single" w:color="000000" w:sz="4" w:space="0"/>
              <w:left w:val="single" w:color="000000" w:sz="4" w:space="0"/>
              <w:bottom w:val="single" w:color="000000" w:sz="4" w:space="0"/>
              <w:right w:val="single" w:color="000000" w:sz="4" w:space="0"/>
            </w:tcBorders>
            <w:noWrap w:val="0"/>
            <w:vAlign w:val="top"/>
          </w:tcPr>
          <w:p w14:paraId="46F02427">
            <w:pPr>
              <w:keepNext w:val="0"/>
              <w:keepLines w:val="0"/>
              <w:widowControl/>
              <w:numPr>
                <w:ilvl w:val="0"/>
                <w:numId w:val="15"/>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设备认证文件及机型：</w:t>
            </w:r>
            <w:r>
              <w:rPr>
                <w:rFonts w:hint="eastAsia" w:ascii="宋体" w:hAnsi="宋体" w:cs="宋体"/>
                <w:i w:val="0"/>
                <w:iCs w:val="0"/>
                <w:color w:val="auto"/>
                <w:kern w:val="0"/>
                <w:sz w:val="24"/>
                <w:szCs w:val="24"/>
                <w:highlight w:val="none"/>
                <w:u w:val="none"/>
                <w:lang w:val="en-US" w:eastAsia="zh-CN" w:bidi="ar"/>
              </w:rPr>
              <w:t>65</w:t>
            </w:r>
            <w:r>
              <w:rPr>
                <w:rFonts w:hint="eastAsia" w:ascii="宋体" w:hAnsi="宋体" w:eastAsia="宋体" w:cs="宋体"/>
                <w:i w:val="0"/>
                <w:iCs w:val="0"/>
                <w:color w:val="auto"/>
                <w:kern w:val="0"/>
                <w:sz w:val="24"/>
                <w:szCs w:val="24"/>
                <w:highlight w:val="none"/>
                <w:u w:val="none"/>
                <w:lang w:val="en-US" w:eastAsia="zh-CN" w:bidi="ar"/>
              </w:rPr>
              <w:t>cm及以上</w:t>
            </w:r>
            <w:r>
              <w:rPr>
                <w:rFonts w:hint="eastAsia" w:ascii="宋体" w:hAnsi="宋体" w:eastAsia="宋体" w:cs="宋体"/>
                <w:i w:val="0"/>
                <w:iCs w:val="0"/>
                <w:color w:val="000000"/>
                <w:kern w:val="0"/>
                <w:sz w:val="24"/>
                <w:szCs w:val="24"/>
                <w:highlight w:val="none"/>
                <w:u w:val="none"/>
                <w:lang w:val="en-US" w:eastAsia="zh-CN" w:bidi="ar"/>
              </w:rPr>
              <w:t>大孔径3.0T磁共振设备</w:t>
            </w:r>
            <w:r>
              <w:rPr>
                <w:rFonts w:hint="eastAsia" w:ascii="宋体" w:hAnsi="宋体" w:cs="宋体"/>
                <w:i w:val="0"/>
                <w:iCs w:val="0"/>
                <w:color w:val="000000"/>
                <w:kern w:val="0"/>
                <w:sz w:val="24"/>
                <w:szCs w:val="24"/>
                <w:highlight w:val="none"/>
                <w:u w:val="none"/>
                <w:lang w:val="en-US" w:eastAsia="zh-CN" w:bidi="ar"/>
              </w:rPr>
              <w:t>，提供具备多源射频或多通道发射技术的</w:t>
            </w:r>
            <w:r>
              <w:rPr>
                <w:rFonts w:hint="eastAsia" w:ascii="宋体" w:hAnsi="宋体" w:eastAsia="宋体" w:cs="宋体"/>
                <w:i w:val="0"/>
                <w:iCs w:val="0"/>
                <w:color w:val="000000"/>
                <w:kern w:val="0"/>
                <w:sz w:val="24"/>
                <w:szCs w:val="24"/>
                <w:highlight w:val="none"/>
                <w:u w:val="none"/>
                <w:lang w:val="en-US" w:eastAsia="zh-CN" w:bidi="ar"/>
              </w:rPr>
              <w:t>3T机型</w:t>
            </w:r>
            <w:r>
              <w:rPr>
                <w:rFonts w:hint="eastAsia" w:ascii="宋体" w:hAnsi="宋体" w:cs="宋体"/>
                <w:i w:val="0"/>
                <w:iCs w:val="0"/>
                <w:color w:val="000000"/>
                <w:kern w:val="0"/>
                <w:sz w:val="24"/>
                <w:szCs w:val="24"/>
                <w:highlight w:val="none"/>
                <w:u w:val="none"/>
                <w:lang w:val="en-US" w:eastAsia="zh-CN" w:bidi="ar"/>
              </w:rPr>
              <w:t>，注明多源射频或多通道发射技术名称</w:t>
            </w:r>
            <w:r>
              <w:rPr>
                <w:rFonts w:hint="eastAsia" w:ascii="宋体" w:hAnsi="宋体" w:eastAsia="宋体" w:cs="宋体"/>
                <w:i w:val="0"/>
                <w:iCs w:val="0"/>
                <w:color w:val="000000"/>
                <w:kern w:val="0"/>
                <w:sz w:val="24"/>
                <w:szCs w:val="24"/>
                <w:highlight w:val="none"/>
                <w:u w:val="none"/>
                <w:lang w:val="en-US" w:eastAsia="zh-CN" w:bidi="ar"/>
              </w:rPr>
              <w:t>。</w:t>
            </w:r>
          </w:p>
          <w:p w14:paraId="2D4E330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二、磁体系统：具备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（1）磁场强度：3.0T。</w:t>
            </w:r>
          </w:p>
          <w:p w14:paraId="2E3842C8">
            <w:pPr>
              <w:keepNext w:val="0"/>
              <w:keepLines w:val="0"/>
              <w:widowControl/>
              <w:numPr>
                <w:ilvl w:val="0"/>
                <w:numId w:val="16"/>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中心共振频率：≥127MHz。</w:t>
            </w:r>
          </w:p>
          <w:p w14:paraId="74DB0CD9">
            <w:pPr>
              <w:keepNext w:val="0"/>
              <w:keepLines w:val="0"/>
              <w:widowControl/>
              <w:numPr>
                <w:ilvl w:val="0"/>
                <w:numId w:val="16"/>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磁体重量 (含液氦)：≤ 6000kg。</w:t>
            </w:r>
          </w:p>
          <w:p w14:paraId="4A465ED1">
            <w:pPr>
              <w:keepNext w:val="0"/>
              <w:keepLines w:val="0"/>
              <w:widowControl/>
              <w:numPr>
                <w:ilvl w:val="0"/>
                <w:numId w:val="16"/>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磁体类型：3.0T超导磁体。</w:t>
            </w:r>
          </w:p>
          <w:p w14:paraId="36EF11A6">
            <w:pPr>
              <w:keepNext w:val="0"/>
              <w:keepLines w:val="0"/>
              <w:widowControl/>
              <w:numPr>
                <w:ilvl w:val="0"/>
                <w:numId w:val="16"/>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磁场匀度：V－RMS测量法，10cmDSV：≤0.005ppm，20cmDSV：≤0.03ppm，30cmDSV：≤0.1ppm，40cmDSV：≤0.48ppm，，50cmDSV：≤4.5ppm。</w:t>
            </w:r>
          </w:p>
          <w:p w14:paraId="10D2DAC9">
            <w:pPr>
              <w:keepNext w:val="0"/>
              <w:keepLines w:val="0"/>
              <w:widowControl/>
              <w:numPr>
                <w:ilvl w:val="0"/>
                <w:numId w:val="16"/>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匀场：具备。匀场方式：主动匀场 + 被动匀场 +动态匀场。</w:t>
            </w:r>
          </w:p>
          <w:p w14:paraId="746DA8B6">
            <w:pPr>
              <w:keepNext w:val="0"/>
              <w:keepLines w:val="0"/>
              <w:widowControl/>
              <w:numPr>
                <w:ilvl w:val="0"/>
                <w:numId w:val="16"/>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磁体长度：≥1</w:t>
            </w:r>
            <w:r>
              <w:rPr>
                <w:rFonts w:hint="eastAsia" w:ascii="宋体" w:hAnsi="宋体" w:cs="宋体"/>
                <w:i w:val="0"/>
                <w:iCs w:val="0"/>
                <w:color w:val="000000"/>
                <w:kern w:val="0"/>
                <w:sz w:val="24"/>
                <w:szCs w:val="24"/>
                <w:highlight w:val="none"/>
                <w:u w:val="none"/>
                <w:lang w:val="en-US" w:eastAsia="zh-CN" w:bidi="ar"/>
              </w:rPr>
              <w:t>60</w:t>
            </w:r>
            <w:r>
              <w:rPr>
                <w:rFonts w:hint="eastAsia" w:ascii="宋体" w:hAnsi="宋体" w:eastAsia="宋体" w:cs="宋体"/>
                <w:i w:val="0"/>
                <w:iCs w:val="0"/>
                <w:color w:val="000000"/>
                <w:kern w:val="0"/>
                <w:sz w:val="24"/>
                <w:szCs w:val="24"/>
                <w:highlight w:val="none"/>
                <w:u w:val="none"/>
                <w:lang w:val="en-US" w:eastAsia="zh-CN" w:bidi="ar"/>
              </w:rPr>
              <w:t>cm。</w:t>
            </w:r>
          </w:p>
          <w:p w14:paraId="10FE32CB">
            <w:pPr>
              <w:keepNext w:val="0"/>
              <w:keepLines w:val="0"/>
              <w:widowControl/>
              <w:numPr>
                <w:ilvl w:val="0"/>
                <w:numId w:val="16"/>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病人检查孔径：≥</w:t>
            </w:r>
            <w:r>
              <w:rPr>
                <w:rFonts w:hint="eastAsia" w:ascii="宋体" w:hAnsi="宋体" w:cs="宋体"/>
                <w:i w:val="0"/>
                <w:iCs w:val="0"/>
                <w:color w:val="000000"/>
                <w:kern w:val="0"/>
                <w:sz w:val="24"/>
                <w:szCs w:val="24"/>
                <w:highlight w:val="none"/>
                <w:u w:val="none"/>
                <w:lang w:val="en-US" w:eastAsia="zh-CN" w:bidi="ar"/>
              </w:rPr>
              <w:t>65</w:t>
            </w:r>
            <w:r>
              <w:rPr>
                <w:rFonts w:hint="eastAsia" w:ascii="宋体" w:hAnsi="宋体" w:eastAsia="宋体" w:cs="宋体"/>
                <w:i w:val="0"/>
                <w:iCs w:val="0"/>
                <w:color w:val="000000"/>
                <w:kern w:val="0"/>
                <w:sz w:val="24"/>
                <w:szCs w:val="24"/>
                <w:highlight w:val="none"/>
                <w:u w:val="none"/>
                <w:lang w:val="en-US" w:eastAsia="zh-CN" w:bidi="ar"/>
              </w:rPr>
              <w:t>cm。</w:t>
            </w:r>
          </w:p>
          <w:p w14:paraId="2A53BCAA">
            <w:pPr>
              <w:keepNext w:val="0"/>
              <w:keepLines w:val="0"/>
              <w:widowControl/>
              <w:numPr>
                <w:ilvl w:val="0"/>
                <w:numId w:val="16"/>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液氦挥发量：零液氦消耗。</w:t>
            </w:r>
          </w:p>
          <w:p w14:paraId="48B7B7BB">
            <w:pPr>
              <w:keepNext w:val="0"/>
              <w:keepLines w:val="0"/>
              <w:widowControl/>
              <w:numPr>
                <w:ilvl w:val="0"/>
                <w:numId w:val="16"/>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液氦容积：≥1500L。</w:t>
            </w:r>
          </w:p>
          <w:p w14:paraId="12A3CF78">
            <w:pPr>
              <w:keepNext w:val="0"/>
              <w:keepLines w:val="0"/>
              <w:widowControl/>
              <w:numPr>
                <w:ilvl w:val="0"/>
                <w:numId w:val="16"/>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抗外界干扰屏蔽：有。</w:t>
            </w:r>
          </w:p>
          <w:p w14:paraId="58DEADF0">
            <w:pPr>
              <w:keepNext w:val="0"/>
              <w:keepLines w:val="0"/>
              <w:widowControl/>
              <w:numPr>
                <w:ilvl w:val="0"/>
                <w:numId w:val="16"/>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主磁场均匀度补偿 ：有。</w:t>
            </w:r>
          </w:p>
          <w:p w14:paraId="21E4E8D6">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（13）5G磁力线范围：具备。 轴向：≤5.2米，径向：≤3.2米。</w:t>
            </w:r>
          </w:p>
          <w:p w14:paraId="6304188E">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（14）1G磁力线范围：具备。 轴向：≤7.8米， 径向：≤5.0米。</w:t>
            </w:r>
          </w:p>
          <w:p w14:paraId="781D8213">
            <w:pPr>
              <w:keepNext w:val="0"/>
              <w:keepLines w:val="0"/>
              <w:widowControl/>
              <w:numPr>
                <w:ilvl w:val="0"/>
                <w:numId w:val="17"/>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冷却方式 ：液氦制冷。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三、梯度系统：具备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（1）单轴梯度场强：≥45mT/m 。</w:t>
            </w:r>
          </w:p>
          <w:p w14:paraId="5DEA7AAF">
            <w:pPr>
              <w:keepNext w:val="0"/>
              <w:keepLines w:val="0"/>
              <w:widowControl/>
              <w:numPr>
                <w:ilvl w:val="0"/>
                <w:numId w:val="18"/>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单轴梯度切换率：≥200T/m/s。</w:t>
            </w:r>
          </w:p>
          <w:p w14:paraId="60340FDE">
            <w:pPr>
              <w:keepNext w:val="0"/>
              <w:keepLines w:val="0"/>
              <w:widowControl/>
              <w:numPr>
                <w:ilvl w:val="0"/>
                <w:numId w:val="18"/>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最大扫描FOV：≥55cm。</w:t>
            </w:r>
          </w:p>
          <w:p w14:paraId="397AAFFF">
            <w:pPr>
              <w:keepNext w:val="0"/>
              <w:keepLines w:val="0"/>
              <w:widowControl/>
              <w:numPr>
                <w:ilvl w:val="0"/>
                <w:numId w:val="18"/>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最大占空比 ：100%。</w:t>
            </w:r>
          </w:p>
          <w:p w14:paraId="7F3DEA11">
            <w:pPr>
              <w:keepNext w:val="0"/>
              <w:keepLines w:val="0"/>
              <w:widowControl/>
              <w:numPr>
                <w:ilvl w:val="0"/>
                <w:numId w:val="18"/>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梯度工作方式：非共振式。</w:t>
            </w:r>
          </w:p>
          <w:p w14:paraId="66D6E886">
            <w:pPr>
              <w:keepNext w:val="0"/>
              <w:keepLines w:val="0"/>
              <w:widowControl/>
              <w:numPr>
                <w:ilvl w:val="0"/>
                <w:numId w:val="18"/>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梯度控制技术：全数字实时。</w:t>
            </w:r>
          </w:p>
          <w:p w14:paraId="597E8084">
            <w:pPr>
              <w:keepNext w:val="0"/>
              <w:keepLines w:val="0"/>
              <w:widowControl/>
              <w:numPr>
                <w:ilvl w:val="0"/>
                <w:numId w:val="18"/>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梯度减噪系统：支持全身全序列。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四、射频系统：具备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（1）多源射频</w:t>
            </w:r>
            <w:r>
              <w:rPr>
                <w:rFonts w:hint="eastAsia" w:ascii="宋体" w:hAnsi="宋体" w:cs="宋体"/>
                <w:i w:val="0"/>
                <w:iCs w:val="0"/>
                <w:color w:val="000000"/>
                <w:kern w:val="0"/>
                <w:sz w:val="24"/>
                <w:szCs w:val="24"/>
                <w:highlight w:val="none"/>
                <w:u w:val="none"/>
                <w:lang w:val="en-US" w:eastAsia="zh-CN" w:bidi="ar"/>
              </w:rPr>
              <w:t>或多通道</w:t>
            </w:r>
            <w:r>
              <w:rPr>
                <w:rFonts w:hint="eastAsia" w:ascii="宋体" w:hAnsi="宋体" w:eastAsia="宋体" w:cs="宋体"/>
                <w:i w:val="0"/>
                <w:iCs w:val="0"/>
                <w:color w:val="000000"/>
                <w:kern w:val="0"/>
                <w:sz w:val="24"/>
                <w:szCs w:val="24"/>
                <w:highlight w:val="none"/>
                <w:u w:val="none"/>
                <w:lang w:val="en-US" w:eastAsia="zh-CN" w:bidi="ar"/>
              </w:rPr>
              <w:t>发射技术：具备。射频发射源：具备。独立射频源个数：≥2。独立射频放大器个数（非转换器）：≥2。</w:t>
            </w:r>
          </w:p>
          <w:p w14:paraId="5E0D476E">
            <w:pPr>
              <w:keepNext w:val="0"/>
              <w:keepLines w:val="0"/>
              <w:widowControl/>
              <w:numPr>
                <w:ilvl w:val="0"/>
                <w:numId w:val="19"/>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射频功率：≥18KW*2。</w:t>
            </w:r>
          </w:p>
          <w:p w14:paraId="075839AB">
            <w:pPr>
              <w:keepNext w:val="0"/>
              <w:keepLines w:val="0"/>
              <w:widowControl/>
              <w:numPr>
                <w:ilvl w:val="0"/>
                <w:numId w:val="19"/>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发射带宽：≥800kHz。</w:t>
            </w:r>
          </w:p>
          <w:p w14:paraId="6C18F293">
            <w:pPr>
              <w:keepNext w:val="0"/>
              <w:keepLines w:val="0"/>
              <w:widowControl/>
              <w:numPr>
                <w:ilvl w:val="0"/>
                <w:numId w:val="19"/>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相控阵射频同时并行接收独立通道数：为了满足磁共振科研与临床高通道线圈拓展，要求各厂家提供的产品射频通道数必须 ≥ </w:t>
            </w:r>
            <w:r>
              <w:rPr>
                <w:rFonts w:hint="eastAsia" w:ascii="宋体" w:hAnsi="宋体" w:cs="宋体"/>
                <w:i w:val="0"/>
                <w:iCs w:val="0"/>
                <w:color w:val="000000"/>
                <w:kern w:val="0"/>
                <w:sz w:val="24"/>
                <w:szCs w:val="24"/>
                <w:highlight w:val="none"/>
                <w:u w:val="none"/>
                <w:lang w:val="en-US" w:eastAsia="zh-CN" w:bidi="ar"/>
              </w:rPr>
              <w:t>96</w:t>
            </w:r>
            <w:r>
              <w:rPr>
                <w:rFonts w:hint="eastAsia" w:ascii="宋体" w:hAnsi="宋体" w:eastAsia="宋体" w:cs="宋体"/>
                <w:i w:val="0"/>
                <w:iCs w:val="0"/>
                <w:color w:val="000000"/>
                <w:kern w:val="0"/>
                <w:sz w:val="24"/>
                <w:szCs w:val="24"/>
                <w:highlight w:val="none"/>
                <w:u w:val="none"/>
                <w:lang w:val="en-US" w:eastAsia="zh-CN" w:bidi="ar"/>
              </w:rPr>
              <w:t>通道。</w:t>
            </w:r>
          </w:p>
          <w:p w14:paraId="214BAE08">
            <w:pPr>
              <w:keepNext w:val="0"/>
              <w:keepLines w:val="0"/>
              <w:widowControl/>
              <w:numPr>
                <w:ilvl w:val="0"/>
                <w:numId w:val="19"/>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数字影像链：具备。</w:t>
            </w:r>
          </w:p>
          <w:p w14:paraId="52D92525">
            <w:pPr>
              <w:keepNext w:val="0"/>
              <w:keepLines w:val="0"/>
              <w:widowControl/>
              <w:numPr>
                <w:ilvl w:val="0"/>
                <w:numId w:val="19"/>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最高接收动态范围：≥1</w:t>
            </w:r>
            <w:r>
              <w:rPr>
                <w:rFonts w:hint="eastAsia" w:ascii="宋体" w:hAnsi="宋体" w:cs="宋体"/>
                <w:i w:val="0"/>
                <w:iCs w:val="0"/>
                <w:color w:val="000000"/>
                <w:kern w:val="0"/>
                <w:sz w:val="24"/>
                <w:szCs w:val="24"/>
                <w:highlight w:val="none"/>
                <w:u w:val="none"/>
                <w:lang w:val="en-US" w:eastAsia="zh-CN" w:bidi="ar"/>
              </w:rPr>
              <w:t>60</w:t>
            </w:r>
            <w:r>
              <w:rPr>
                <w:rFonts w:hint="eastAsia" w:ascii="宋体" w:hAnsi="宋体" w:eastAsia="宋体" w:cs="宋体"/>
                <w:i w:val="0"/>
                <w:iCs w:val="0"/>
                <w:color w:val="000000"/>
                <w:kern w:val="0"/>
                <w:sz w:val="24"/>
                <w:szCs w:val="24"/>
                <w:highlight w:val="none"/>
                <w:u w:val="none"/>
                <w:lang w:val="en-US" w:eastAsia="zh-CN" w:bidi="ar"/>
              </w:rPr>
              <w:t>dB。</w:t>
            </w:r>
          </w:p>
          <w:p w14:paraId="2615ADF1">
            <w:pPr>
              <w:keepNext w:val="0"/>
              <w:keepLines w:val="0"/>
              <w:widowControl/>
              <w:numPr>
                <w:ilvl w:val="0"/>
                <w:numId w:val="19"/>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射频接收线圈，需达到如下要求：具备。一体化头颈联合线圈：≥ 20通道。一体化心胸腹体部线圈：≥30通道，单片头足方向覆盖范围≥60cm，如覆盖范围不足60cm,为满足胸腹盆腔覆盖，需提供2片以上。一体化全脊柱线圈：≥32通道。多功能柔性线圈：≥6通道。乳腺专用线圈：≥7通道。膝关节专用硬式线圈（不可用柔性线圈代替）：≥16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五、操作台：具备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（1）CPU主频：≥3.3GHz。</w:t>
            </w:r>
          </w:p>
          <w:p w14:paraId="26B41C42">
            <w:pPr>
              <w:keepNext w:val="0"/>
              <w:keepLines w:val="0"/>
              <w:widowControl/>
              <w:numPr>
                <w:ilvl w:val="0"/>
                <w:numId w:val="2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处理器位数：64位。</w:t>
            </w:r>
          </w:p>
          <w:p w14:paraId="0D6F26CB">
            <w:pPr>
              <w:keepNext w:val="0"/>
              <w:keepLines w:val="0"/>
              <w:widowControl/>
              <w:numPr>
                <w:ilvl w:val="0"/>
                <w:numId w:val="2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主内存：≥32GB。</w:t>
            </w:r>
          </w:p>
          <w:p w14:paraId="53C63D86">
            <w:pPr>
              <w:keepNext w:val="0"/>
              <w:keepLines w:val="0"/>
              <w:widowControl/>
              <w:numPr>
                <w:ilvl w:val="0"/>
                <w:numId w:val="2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硬盘容量：≥700GB 。</w:t>
            </w:r>
          </w:p>
          <w:p w14:paraId="6B55C873">
            <w:pPr>
              <w:keepNext w:val="0"/>
              <w:keepLines w:val="0"/>
              <w:widowControl/>
              <w:numPr>
                <w:ilvl w:val="0"/>
                <w:numId w:val="2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硬盘图像存储量：≥600,000幅(256×256)。</w:t>
            </w:r>
          </w:p>
          <w:p w14:paraId="65ABE3A7">
            <w:pPr>
              <w:keepNext w:val="0"/>
              <w:keepLines w:val="0"/>
              <w:widowControl/>
              <w:numPr>
                <w:ilvl w:val="0"/>
                <w:numId w:val="2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图像重建计算机内存：≥ 32GB。</w:t>
            </w:r>
          </w:p>
          <w:p w14:paraId="454EFAD2">
            <w:pPr>
              <w:keepNext w:val="0"/>
              <w:keepLines w:val="0"/>
              <w:widowControl/>
              <w:numPr>
                <w:ilvl w:val="0"/>
                <w:numId w:val="2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图像重建速度（256 FFT，100% FOV）：≥63000幅/秒。</w:t>
            </w:r>
          </w:p>
          <w:p w14:paraId="48721E02">
            <w:pPr>
              <w:keepNext w:val="0"/>
              <w:keepLines w:val="0"/>
              <w:widowControl/>
              <w:numPr>
                <w:ilvl w:val="0"/>
                <w:numId w:val="2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同步扫描重建功能：扫描,采集,重建时可同时进行阅片,后处理,照相和存盘功能。</w:t>
            </w:r>
          </w:p>
          <w:p w14:paraId="3461BDF2">
            <w:pPr>
              <w:keepNext w:val="0"/>
              <w:keepLines w:val="0"/>
              <w:widowControl/>
              <w:numPr>
                <w:ilvl w:val="0"/>
                <w:numId w:val="2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显示器：≥23寸彩色LCD率液晶显示器。</w:t>
            </w:r>
          </w:p>
          <w:p w14:paraId="130CD923">
            <w:pPr>
              <w:keepNext w:val="0"/>
              <w:keepLines w:val="0"/>
              <w:widowControl/>
              <w:numPr>
                <w:ilvl w:val="0"/>
                <w:numId w:val="2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显示图像分辨率：≥1920 x 1200。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六、后处理接口：具备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（1）软件控制照相技术：具备。</w:t>
            </w:r>
          </w:p>
          <w:p w14:paraId="3FA746A0">
            <w:pPr>
              <w:keepNext w:val="0"/>
              <w:keepLines w:val="0"/>
              <w:widowControl/>
              <w:numPr>
                <w:ilvl w:val="0"/>
                <w:numId w:val="21"/>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DICOM 3.0接口及与PACS网络连接（包括打印，传输，接收，查询,Worklist 等功能）：具备。</w:t>
            </w:r>
          </w:p>
          <w:p w14:paraId="0131E4A4">
            <w:pPr>
              <w:keepNext w:val="0"/>
              <w:keepLines w:val="0"/>
              <w:widowControl/>
              <w:numPr>
                <w:ilvl w:val="0"/>
                <w:numId w:val="21"/>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标准激光相机数字接口：具备。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七、磁体智能显示屏系统：具备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（1）显示屏个数：≥2个。</w:t>
            </w:r>
          </w:p>
          <w:p w14:paraId="06DE34BF">
            <w:pPr>
              <w:keepNext w:val="0"/>
              <w:keepLines w:val="0"/>
              <w:widowControl/>
              <w:numPr>
                <w:ilvl w:val="0"/>
                <w:numId w:val="22"/>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显示屏位置：分别位于磁体两侧。</w:t>
            </w:r>
          </w:p>
          <w:p w14:paraId="1B4AFACA">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显示屏尺寸：≥1</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英寸。</w:t>
            </w:r>
          </w:p>
          <w:p w14:paraId="406BB8A0">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CPU：≥双核。</w:t>
            </w:r>
          </w:p>
          <w:p w14:paraId="6C438043">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操作系统：Win10</w:t>
            </w:r>
            <w:r>
              <w:rPr>
                <w:rFonts w:hint="eastAsia" w:ascii="宋体" w:hAnsi="宋体" w:cs="宋体"/>
                <w:i w:val="0"/>
                <w:iCs w:val="0"/>
                <w:color w:val="000000"/>
                <w:kern w:val="0"/>
                <w:sz w:val="24"/>
                <w:szCs w:val="24"/>
                <w:highlight w:val="none"/>
                <w:u w:val="none"/>
                <w:lang w:val="en-US" w:eastAsia="zh-CN" w:bidi="ar"/>
              </w:rPr>
              <w:t>或Linux系统</w:t>
            </w:r>
            <w:r>
              <w:rPr>
                <w:rFonts w:hint="eastAsia" w:ascii="宋体" w:hAnsi="宋体" w:eastAsia="宋体" w:cs="宋体"/>
                <w:i w:val="0"/>
                <w:iCs w:val="0"/>
                <w:color w:val="000000"/>
                <w:kern w:val="0"/>
                <w:sz w:val="24"/>
                <w:szCs w:val="24"/>
                <w:highlight w:val="none"/>
                <w:u w:val="none"/>
                <w:lang w:val="en-US" w:eastAsia="zh-CN" w:bidi="ar"/>
              </w:rPr>
              <w:t>。</w:t>
            </w:r>
          </w:p>
          <w:p w14:paraId="67940B2D">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多点触屏：具备。</w:t>
            </w:r>
          </w:p>
          <w:p w14:paraId="7DBC8A22">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可显示姓名、生日、性别、患者ID、年龄、体重等信息：具备。</w:t>
            </w:r>
          </w:p>
          <w:p w14:paraId="49E35D72">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可显示扫描时长、扫描序列个数、SAR值、屏气等信息：具备。</w:t>
            </w:r>
          </w:p>
          <w:p w14:paraId="24F5ED71">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可显示推荐使用的线圈：具备。</w:t>
            </w:r>
          </w:p>
          <w:p w14:paraId="74D13F04">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可显示推荐的病人摆位信息：具备。</w:t>
            </w:r>
          </w:p>
          <w:p w14:paraId="4B29BC2B">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对比剂注射管理：可显示对比剂类型和计量。</w:t>
            </w:r>
          </w:p>
          <w:p w14:paraId="10D721FF">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VCG信号显示、呼吸信号显示：具备。</w:t>
            </w:r>
          </w:p>
          <w:p w14:paraId="7590D1CE">
            <w:pPr>
              <w:keepNext w:val="0"/>
              <w:keepLines w:val="0"/>
              <w:widowControl/>
              <w:numPr>
                <w:ilvl w:val="0"/>
                <w:numId w:val="22"/>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可调试通风、照明、音量等：具备。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八、扫描参数：具备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（1）最小FOV：≤5mm。</w:t>
            </w:r>
          </w:p>
          <w:p w14:paraId="3B9C6E6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（2）最大FOV：≥500mm。</w:t>
            </w:r>
          </w:p>
          <w:p w14:paraId="57CE80D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（3）最薄2D层厚：≤0.</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mm。</w:t>
            </w:r>
          </w:p>
          <w:p w14:paraId="0557F17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（4）最薄3D层厚：≤0.05mm。</w:t>
            </w:r>
          </w:p>
          <w:p w14:paraId="41F99DA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（5）最大采集矩阵：≥1024×1024。</w:t>
            </w:r>
          </w:p>
          <w:p w14:paraId="4A9FC676">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）最大弥散加权系数B值：≥10,000。</w:t>
            </w:r>
          </w:p>
          <w:p w14:paraId="6FE7E797">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）TSE最大因子：≥1024。</w:t>
            </w:r>
          </w:p>
          <w:p w14:paraId="54296B5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）EPI最大因子：≥255。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九、扫描技术与序列：具备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（1）自旋回波序列，包括：2D/3D自旋回波序列，组织弛豫时间测量自旋回波序列。</w:t>
            </w:r>
          </w:p>
          <w:p w14:paraId="2B373ED0">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（2）可选择角度的自旋回波：具备。</w:t>
            </w:r>
          </w:p>
          <w:p w14:paraId="046ADFB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（3）反转恢复序列：具备。</w:t>
            </w:r>
          </w:p>
          <w:p w14:paraId="42CAFC1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（4）脂肪抑制序列：具备。</w:t>
            </w:r>
          </w:p>
          <w:p w14:paraId="641B1A0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（5）频谱特异式大范围脂肪抑制：具备。</w:t>
            </w:r>
          </w:p>
          <w:p w14:paraId="2D7BF25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（6）快速自由水抑制序列, 包括有：快速自由水抑制T2W成像技术，快速自由水抑制T1W成像技术。</w:t>
            </w:r>
          </w:p>
          <w:p w14:paraId="39CF624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（7）快速反转恢复序列(脂肪、水抑制)：具备。</w:t>
            </w:r>
          </w:p>
          <w:p w14:paraId="389081F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（8）单独灰质或白质成像技术：具备。</w:t>
            </w:r>
          </w:p>
          <w:p w14:paraId="266A960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（9）梯度回波序列(2D/3D), 包括有：亚秒T1加权技术，亚秒T2加权技术。</w:t>
            </w:r>
          </w:p>
          <w:p w14:paraId="281B5E0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（10）2D平衡式梯度回波序列(B-FFE或True-FISP或 FIESTA)：具备。</w:t>
            </w:r>
          </w:p>
          <w:p w14:paraId="76A29970">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（11）3D平衡式梯度回波序列(B-FFE或True-FISP或 FIESTA)：具备。</w:t>
            </w:r>
          </w:p>
          <w:p w14:paraId="4E0DC69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（12）超快速场回波序列：具备。</w:t>
            </w:r>
          </w:p>
          <w:p w14:paraId="4D764A06">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（13）多层快速动态成像：具备。 </w:t>
            </w:r>
          </w:p>
          <w:p w14:paraId="1F325EA0">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（14）匙孔成像技术：具备。 </w:t>
            </w:r>
          </w:p>
          <w:p w14:paraId="41847EA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（15）三维成像：具备。</w:t>
            </w:r>
          </w:p>
          <w:p w14:paraId="313D287C">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（16）多块三维：具备。</w:t>
            </w:r>
          </w:p>
          <w:p w14:paraId="225555A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（17）多叠三维：具备。</w:t>
            </w:r>
          </w:p>
          <w:p w14:paraId="55F946F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（18）智能化K空间快门成像：具备。</w:t>
            </w:r>
          </w:p>
          <w:p w14:paraId="2B5FFE0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（19）磁化转移对比：具备。</w:t>
            </w:r>
          </w:p>
          <w:p w14:paraId="773EE598">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（20）单次激发EPI技术：具备。</w:t>
            </w:r>
          </w:p>
          <w:p w14:paraId="3F8D9B3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（21）多次激发EPI技术：具备。</w:t>
            </w:r>
          </w:p>
          <w:p w14:paraId="132D1DC0">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（22）流入法血管造影：具备。</w:t>
            </w:r>
          </w:p>
          <w:p w14:paraId="125942E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（23）快速流入法血管造影：具备。</w:t>
            </w:r>
          </w:p>
          <w:p w14:paraId="1DDF1DD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（24）造影剂增强MRA：具备。 </w:t>
            </w:r>
          </w:p>
          <w:p w14:paraId="71269A4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（25）倾角优化非饱和激发技术：具备。</w:t>
            </w:r>
          </w:p>
          <w:p w14:paraId="2D9D3900">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（26）相位对比血管造影：具备。</w:t>
            </w:r>
          </w:p>
          <w:p w14:paraId="59BBCB7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（27）快速相位对比血管造影：具备。</w:t>
            </w:r>
          </w:p>
          <w:p w14:paraId="1058059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（28）伪影消除技术, 包括:恒定信号技术，流动校正梯度波形技术，区域饱和技术，卷积伪影去除技术，周边脉动触发技术，呼吸触发技术，减少呼吸运动伪影不增加扫描时间技术，智能伪影消除技术，手动启动和停止。</w:t>
            </w:r>
          </w:p>
          <w:p w14:paraId="7A8D65B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（29）节时技术,包括：半扫描技术：部分扫描采集技术：矩形视野采集技术：三维重叠连续采集技术：预备相位极小化扫描技术：</w:t>
            </w:r>
          </w:p>
          <w:p w14:paraId="13AF3D0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神经系统成像技术,包括:高分辨解剖成像：脊髓成像：脑脊液抑制技术，脂肪抑制，灰、白质最佳显示成像。弥散成像技术，包括:ADC成像，各向同性采集，各向异性采集，一次扫描完成三弥散方向采集。灌注成像技术,包括:线上计算血流动态图，平均通过时间，到达峰值时间，负积分图，索引图。</w:t>
            </w:r>
          </w:p>
          <w:p w14:paraId="16D1813C">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心血管成像技术,包括：2D/3D时飞法技术，连续多层3D时飞法技术，门控流入技术，2D/3D相位对比技术，相位对比MRA技术，磁化传递(MTC法)血管造影，智能化实时透视减影造影剂追踪血管成像技术，智能化自动床移造影剂跟踪技术，3D多层重叠成像技术，可变反转角度射频技术，血管选择技术，最大强度投影技术，多层面重建技术，实时交互式血管图像处理，流量定量分析技术，高时间分辨率的血管成像，区域饱和技术，心脏成像白血、黑血技术，二维、三维多相位心脏电影成像，无线蓝牙传输呼吸门控，无线蓝牙传输外周门控，频编码方向扩大采集，相位编码方向扩大采集，饱和带数目≥6，脂肪饱和技术。</w:t>
            </w:r>
          </w:p>
          <w:p w14:paraId="7DE5DAC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（32）并行采集技术成像(dS-SENSE或者ASSET或者iPAT)：具备。</w:t>
            </w:r>
          </w:p>
          <w:p w14:paraId="4F9D354C">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（33）运动伪影校正技术（Propeller 3.0或者Blade或者Multivane）：具备。</w:t>
            </w:r>
          </w:p>
          <w:p w14:paraId="7C51C58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（34）水成像：具备。</w:t>
            </w:r>
          </w:p>
          <w:p w14:paraId="3EB9EB6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（35）信/噪指示器：具备。</w:t>
            </w:r>
          </w:p>
          <w:p w14:paraId="34F98C3C">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（36）预扫描技术：具备。</w:t>
            </w:r>
          </w:p>
          <w:p w14:paraId="0A6EE21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（37）高分辨采集及重建技术：具备，2048*2048采集及重建矩阵。</w:t>
            </w:r>
          </w:p>
          <w:p w14:paraId="58F8D58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（38）心电向量门控技术：具备。</w:t>
            </w:r>
          </w:p>
          <w:p w14:paraId="7A019BD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（39）3D腹部增强扫描，(VIBE或者LAVA或者Thrive)：具备。</w:t>
            </w:r>
          </w:p>
          <w:p w14:paraId="09B2A03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（40）一键式扫描卡片：具备。</w:t>
            </w:r>
          </w:p>
          <w:p w14:paraId="470E9BA6">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（41）背景抑制弥散(DWIBS或者REVEAL或者WB-DWI)：具备。直接冠状位采集背景抑制弥散，非横断位重建：具备。</w:t>
            </w:r>
          </w:p>
          <w:p w14:paraId="16F0715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（42）非造影增强外周血管成像：具备。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十、高级功能成像：具备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（1）脑功能成像BOLD：具备。</w:t>
            </w:r>
          </w:p>
          <w:p w14:paraId="1C14C84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（2）波谱成像：具备：单体素波谱，多体素波谱，2D波谱，3D波谱，头部波谱分析，乳腺波谱分析，前列腺波谱分析。</w:t>
            </w:r>
          </w:p>
          <w:p w14:paraId="730CE6A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（3）DTI神经纤维束成像：具备。</w:t>
            </w:r>
          </w:p>
          <w:p w14:paraId="71F54B2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（4）快速自旋回波水脂分离成像 (mDIXON 或者DIXON或者IDEAL)：具备。参与计算脂肪峰个数≥6个。水脂分离成像采集回波数≤3个。</w:t>
            </w:r>
          </w:p>
          <w:p w14:paraId="30D6D9C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（5）梯度回波水脂分离成像 (mDIXON 或者DIXON-vibe或者LAVA FLEX)：具备。</w:t>
            </w:r>
          </w:p>
          <w:p w14:paraId="01FAA90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（6）不打药灌注3D ASL：具备。提供rCBF兴趣区测量功能，同时彩图自动优化处理（非手工调整）功能。</w:t>
            </w:r>
          </w:p>
          <w:p w14:paraId="4DBAB5F8">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（7）磁敏感成像：具备。磁敏感成像具备相位图。</w:t>
            </w:r>
          </w:p>
          <w:p w14:paraId="10DBC216">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（8）mDXION XD MRA不剪影血管成像：具备。</w:t>
            </w:r>
          </w:p>
          <w:p w14:paraId="02E67D2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（9）去金属伪影扫描技术（MARS或者Mavric SL或者Advanced WAPP）：具备。</w:t>
            </w:r>
          </w:p>
          <w:p w14:paraId="73FB6A7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（10）金属植入物定制化扫描技术：具备。</w:t>
            </w:r>
          </w:p>
          <w:p w14:paraId="612A67E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（11）具有iMSDE预脉冲的黑血成像：具备。</w:t>
            </w:r>
          </w:p>
          <w:p w14:paraId="38C73BB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（12）自由呼吸成像3D VANE XD或者StarVIBE：具备。</w:t>
            </w:r>
          </w:p>
          <w:p w14:paraId="58C4A7C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（13）具有iMSDE预脉冲的神经根成像：具备。</w:t>
            </w:r>
          </w:p>
          <w:p w14:paraId="67B0550E">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）双射频</w:t>
            </w:r>
            <w:r>
              <w:rPr>
                <w:rFonts w:hint="eastAsia" w:ascii="宋体" w:hAnsi="宋体" w:cs="宋体"/>
                <w:i w:val="0"/>
                <w:iCs w:val="0"/>
                <w:color w:val="000000"/>
                <w:kern w:val="0"/>
                <w:sz w:val="24"/>
                <w:szCs w:val="24"/>
                <w:highlight w:val="none"/>
                <w:u w:val="none"/>
                <w:lang w:val="en-US" w:eastAsia="zh-CN" w:bidi="ar"/>
              </w:rPr>
              <w:t>或多通道</w:t>
            </w:r>
            <w:r>
              <w:rPr>
                <w:rFonts w:hint="eastAsia" w:ascii="宋体" w:hAnsi="宋体" w:eastAsia="宋体" w:cs="宋体"/>
                <w:i w:val="0"/>
                <w:iCs w:val="0"/>
                <w:color w:val="000000"/>
                <w:kern w:val="0"/>
                <w:sz w:val="24"/>
                <w:szCs w:val="24"/>
                <w:highlight w:val="none"/>
                <w:u w:val="none"/>
                <w:lang w:val="en-US" w:eastAsia="zh-CN" w:bidi="ar"/>
              </w:rPr>
              <w:t>硬件下实现小视野弥散高清成像，ZOOM Diffusion或者FOCUS或者ZOOMIT：具备。</w:t>
            </w:r>
          </w:p>
          <w:p w14:paraId="516C75B5">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）高清弥散，IRIS或者MUSE或者Resolve 2.0：具备。</w:t>
            </w:r>
          </w:p>
          <w:p w14:paraId="697069A0">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）高级三维容积非选择性成像，心脏非选择性3D bFFE扫描，降低带状伪影：具备，3D Non-selective。</w:t>
            </w:r>
          </w:p>
          <w:p w14:paraId="3D3C5F90">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）心功能分析成像：具备。</w:t>
            </w:r>
          </w:p>
          <w:p w14:paraId="4B38F55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）心脏灌注成像：具备。</w:t>
            </w:r>
          </w:p>
          <w:p w14:paraId="0D99868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19</w:t>
            </w:r>
            <w:r>
              <w:rPr>
                <w:rFonts w:hint="eastAsia" w:ascii="宋体" w:hAnsi="宋体" w:eastAsia="宋体" w:cs="宋体"/>
                <w:i w:val="0"/>
                <w:iCs w:val="0"/>
                <w:color w:val="000000"/>
                <w:kern w:val="0"/>
                <w:sz w:val="24"/>
                <w:szCs w:val="24"/>
                <w:highlight w:val="none"/>
                <w:u w:val="none"/>
                <w:lang w:val="en-US" w:eastAsia="zh-CN" w:bidi="ar"/>
              </w:rPr>
              <w:t>）心脏网格成像：具备。</w:t>
            </w:r>
          </w:p>
          <w:p w14:paraId="2C11321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）不打药冠状动脉成像：具备。</w:t>
            </w:r>
          </w:p>
          <w:p w14:paraId="559C9486">
            <w:pPr>
              <w:bidi w:val="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）mDXION XD LGE（mDXION技术可用于心脏延迟强化）：具备。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十一、压缩感知成像：具备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（1）压缩感知2D成像：具备。</w:t>
            </w:r>
          </w:p>
          <w:p w14:paraId="66D71B3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（2）压缩感知3D成像：具备。</w:t>
            </w:r>
          </w:p>
          <w:p w14:paraId="5097D707">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（3）压缩感知4D成像：具备。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十二、检查环境：具备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（1）双向病人通话系统：具备。</w:t>
            </w:r>
          </w:p>
          <w:p w14:paraId="6C4CEDD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（2）提供防磁气动通话耳机：具备。</w:t>
            </w:r>
          </w:p>
          <w:p w14:paraId="0470CFF7">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（3）磁体内可调试病人通风系统：具备。</w:t>
            </w:r>
          </w:p>
          <w:p w14:paraId="750478E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（4）可调试磁孔内病人照明系统：具备。</w:t>
            </w:r>
          </w:p>
          <w:p w14:paraId="6F14386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（5）磁体内病人双向通话麦克风及扩音器系统：具备。（6）检查床垂直运动时最大病人承受重量：≥250KG.（7）检查床最低位置：≤60cm。</w:t>
            </w:r>
          </w:p>
          <w:p w14:paraId="6418164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（8）扫描床水平进床最大速度:≥</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00mm/sec。</w:t>
            </w:r>
          </w:p>
          <w:p w14:paraId="37FE7BD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（9）自动语音提醒功能:具备:检查时间提醒,移床语音提醒,呼吸屏气配合语音提醒,多种语言提醒。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十三、其他附属设备：具备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（1）线圈专用储存车：具备。</w:t>
            </w:r>
          </w:p>
          <w:p w14:paraId="652FD4F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（2）线圈支架：具备。</w:t>
            </w:r>
          </w:p>
          <w:p w14:paraId="19E06ED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（3）水冷机：具备。</w:t>
            </w:r>
          </w:p>
          <w:p w14:paraId="2BFB85C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（4）MR专用双系统精密空调一套。</w:t>
            </w:r>
          </w:p>
          <w:p w14:paraId="43D3EDD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（5）MR专用双柱铁磁探测系统一套。</w:t>
            </w:r>
          </w:p>
          <w:p w14:paraId="2E47DD1C">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（6）MR专用双筒高压注射器一台。</w:t>
            </w:r>
          </w:p>
          <w:p w14:paraId="4B5AD2C5">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（7）无磁转运床，轮椅各一辆。</w:t>
            </w:r>
          </w:p>
          <w:p w14:paraId="28B0318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（8）无磁空气消毒机一台，灭火器一个。</w:t>
            </w:r>
          </w:p>
          <w:p w14:paraId="0225E726">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*提供所投产品《医疗器械备案凭证》或者《医疗器械注册证》</w:t>
            </w:r>
          </w:p>
        </w:tc>
        <w:tc>
          <w:tcPr>
            <w:tcW w:w="211" w:type="pct"/>
            <w:vMerge w:val="restart"/>
            <w:tcBorders>
              <w:top w:val="single" w:color="000000" w:sz="4" w:space="0"/>
              <w:left w:val="single" w:color="000000" w:sz="4" w:space="0"/>
              <w:bottom w:val="single" w:color="000000" w:sz="4" w:space="0"/>
              <w:right w:val="single" w:color="000000" w:sz="4" w:space="0"/>
            </w:tcBorders>
            <w:noWrap w:val="0"/>
            <w:vAlign w:val="center"/>
          </w:tcPr>
          <w:p w14:paraId="1C8FE9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302" w:type="pct"/>
            <w:vMerge w:val="restart"/>
            <w:tcBorders>
              <w:top w:val="single" w:color="000000" w:sz="4" w:space="0"/>
              <w:left w:val="single" w:color="000000" w:sz="4" w:space="0"/>
              <w:bottom w:val="single" w:color="000000" w:sz="4" w:space="0"/>
              <w:right w:val="single" w:color="000000" w:sz="4" w:space="0"/>
            </w:tcBorders>
            <w:noWrap w:val="0"/>
            <w:vAlign w:val="center"/>
          </w:tcPr>
          <w:p w14:paraId="504209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F3E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0"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ign w:val="center"/>
          </w:tcPr>
          <w:p w14:paraId="706EAC1B">
            <w:pPr>
              <w:jc w:val="center"/>
              <w:rPr>
                <w:rFonts w:hint="eastAsia" w:ascii="宋体" w:hAnsi="宋体" w:eastAsia="宋体" w:cs="宋体"/>
                <w:i w:val="0"/>
                <w:iCs w:val="0"/>
                <w:color w:val="000000"/>
                <w:sz w:val="24"/>
                <w:szCs w:val="24"/>
                <w:highlight w:val="none"/>
                <w:u w:val="none"/>
              </w:rPr>
            </w:pPr>
          </w:p>
        </w:tc>
        <w:tc>
          <w:tcPr>
            <w:tcW w:w="5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DC57C6">
            <w:pPr>
              <w:jc w:val="center"/>
              <w:rPr>
                <w:rFonts w:hint="eastAsia" w:ascii="宋体" w:hAnsi="宋体" w:eastAsia="宋体" w:cs="宋体"/>
                <w:i w:val="0"/>
                <w:iCs w:val="0"/>
                <w:color w:val="000000"/>
                <w:sz w:val="24"/>
                <w:szCs w:val="24"/>
                <w:highlight w:val="none"/>
                <w:u w:val="none"/>
              </w:rPr>
            </w:pPr>
          </w:p>
        </w:tc>
        <w:tc>
          <w:tcPr>
            <w:tcW w:w="3651" w:type="pct"/>
            <w:vMerge w:val="continue"/>
            <w:tcBorders>
              <w:top w:val="single" w:color="000000" w:sz="4" w:space="0"/>
              <w:left w:val="single" w:color="000000" w:sz="4" w:space="0"/>
              <w:bottom w:val="single" w:color="000000" w:sz="4" w:space="0"/>
              <w:right w:val="single" w:color="000000" w:sz="4" w:space="0"/>
            </w:tcBorders>
            <w:noWrap w:val="0"/>
            <w:vAlign w:val="top"/>
          </w:tcPr>
          <w:p w14:paraId="093EF497">
            <w:pPr>
              <w:jc w:val="left"/>
              <w:rPr>
                <w:rFonts w:hint="eastAsia" w:ascii="宋体" w:hAnsi="宋体" w:eastAsia="宋体" w:cs="宋体"/>
                <w:i w:val="0"/>
                <w:iCs w:val="0"/>
                <w:color w:val="000000"/>
                <w:sz w:val="24"/>
                <w:szCs w:val="24"/>
                <w:highlight w:val="none"/>
                <w:u w:val="none"/>
              </w:rPr>
            </w:pPr>
          </w:p>
        </w:tc>
        <w:tc>
          <w:tcPr>
            <w:tcW w:w="2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56ACDC">
            <w:pPr>
              <w:jc w:val="center"/>
              <w:rPr>
                <w:rFonts w:hint="eastAsia" w:ascii="宋体" w:hAnsi="宋体" w:eastAsia="宋体" w:cs="宋体"/>
                <w:i w:val="0"/>
                <w:iCs w:val="0"/>
                <w:color w:val="000000"/>
                <w:sz w:val="24"/>
                <w:szCs w:val="24"/>
                <w:highlight w:val="none"/>
                <w:u w:val="none"/>
              </w:rPr>
            </w:pPr>
          </w:p>
        </w:tc>
        <w:tc>
          <w:tcPr>
            <w:tcW w:w="3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4E87C6">
            <w:pPr>
              <w:jc w:val="center"/>
              <w:rPr>
                <w:rFonts w:hint="eastAsia" w:ascii="宋体" w:hAnsi="宋体" w:eastAsia="宋体" w:cs="宋体"/>
                <w:i w:val="0"/>
                <w:iCs w:val="0"/>
                <w:color w:val="000000"/>
                <w:sz w:val="24"/>
                <w:szCs w:val="24"/>
                <w:highlight w:val="none"/>
                <w:u w:val="none"/>
              </w:rPr>
            </w:pPr>
          </w:p>
        </w:tc>
      </w:tr>
      <w:tr w14:paraId="5F61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ign w:val="center"/>
          </w:tcPr>
          <w:p w14:paraId="3616FC15">
            <w:pPr>
              <w:jc w:val="center"/>
              <w:rPr>
                <w:rFonts w:hint="eastAsia" w:ascii="宋体" w:hAnsi="宋体" w:eastAsia="宋体" w:cs="宋体"/>
                <w:i w:val="0"/>
                <w:iCs w:val="0"/>
                <w:color w:val="000000"/>
                <w:sz w:val="24"/>
                <w:szCs w:val="24"/>
                <w:highlight w:val="none"/>
                <w:u w:val="none"/>
              </w:rPr>
            </w:pPr>
          </w:p>
        </w:tc>
        <w:tc>
          <w:tcPr>
            <w:tcW w:w="5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C36458">
            <w:pPr>
              <w:jc w:val="center"/>
              <w:rPr>
                <w:rFonts w:hint="eastAsia" w:ascii="宋体" w:hAnsi="宋体" w:eastAsia="宋体" w:cs="宋体"/>
                <w:i w:val="0"/>
                <w:iCs w:val="0"/>
                <w:color w:val="000000"/>
                <w:sz w:val="24"/>
                <w:szCs w:val="24"/>
                <w:highlight w:val="none"/>
                <w:u w:val="none"/>
              </w:rPr>
            </w:pPr>
          </w:p>
        </w:tc>
        <w:tc>
          <w:tcPr>
            <w:tcW w:w="3651" w:type="pct"/>
            <w:vMerge w:val="continue"/>
            <w:tcBorders>
              <w:top w:val="single" w:color="000000" w:sz="4" w:space="0"/>
              <w:left w:val="single" w:color="000000" w:sz="4" w:space="0"/>
              <w:bottom w:val="single" w:color="000000" w:sz="4" w:space="0"/>
              <w:right w:val="single" w:color="000000" w:sz="4" w:space="0"/>
            </w:tcBorders>
            <w:noWrap w:val="0"/>
            <w:vAlign w:val="top"/>
          </w:tcPr>
          <w:p w14:paraId="6545ED80">
            <w:pPr>
              <w:jc w:val="left"/>
              <w:rPr>
                <w:rFonts w:hint="eastAsia" w:ascii="宋体" w:hAnsi="宋体" w:eastAsia="宋体" w:cs="宋体"/>
                <w:i w:val="0"/>
                <w:iCs w:val="0"/>
                <w:color w:val="000000"/>
                <w:sz w:val="24"/>
                <w:szCs w:val="24"/>
                <w:highlight w:val="none"/>
                <w:u w:val="none"/>
              </w:rPr>
            </w:pPr>
          </w:p>
        </w:tc>
        <w:tc>
          <w:tcPr>
            <w:tcW w:w="21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86283D">
            <w:pPr>
              <w:jc w:val="center"/>
              <w:rPr>
                <w:rFonts w:hint="eastAsia" w:ascii="宋体" w:hAnsi="宋体" w:eastAsia="宋体" w:cs="宋体"/>
                <w:i w:val="0"/>
                <w:iCs w:val="0"/>
                <w:color w:val="000000"/>
                <w:sz w:val="24"/>
                <w:szCs w:val="24"/>
                <w:highlight w:val="none"/>
                <w:u w:val="none"/>
              </w:rPr>
            </w:pPr>
          </w:p>
        </w:tc>
        <w:tc>
          <w:tcPr>
            <w:tcW w:w="30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4D55ED">
            <w:pPr>
              <w:jc w:val="center"/>
              <w:rPr>
                <w:rFonts w:hint="eastAsia" w:ascii="宋体" w:hAnsi="宋体" w:eastAsia="宋体" w:cs="宋体"/>
                <w:i w:val="0"/>
                <w:iCs w:val="0"/>
                <w:color w:val="000000"/>
                <w:sz w:val="24"/>
                <w:szCs w:val="24"/>
                <w:highlight w:val="none"/>
                <w:u w:val="none"/>
              </w:rPr>
            </w:pPr>
          </w:p>
        </w:tc>
      </w:tr>
    </w:tbl>
    <w:p w14:paraId="248C695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r>
        <w:rPr>
          <w:rFonts w:hint="eastAsia" w:ascii="宋体" w:hAnsi="宋体" w:eastAsia="宋体" w:cs="宋体"/>
          <w:b/>
          <w:bCs/>
          <w:sz w:val="24"/>
          <w:szCs w:val="24"/>
          <w:highlight w:val="none"/>
          <w:lang w:val="en-US" w:eastAsia="zh-CN"/>
        </w:rPr>
        <w:t>第四标段</w:t>
      </w:r>
    </w:p>
    <w:tbl>
      <w:tblPr>
        <w:tblStyle w:val="2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
        <w:gridCol w:w="976"/>
        <w:gridCol w:w="7306"/>
        <w:gridCol w:w="564"/>
        <w:gridCol w:w="530"/>
      </w:tblGrid>
      <w:tr w14:paraId="2586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A16E07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14:paraId="04ECE72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3707" w:type="pct"/>
            <w:tcBorders>
              <w:top w:val="single" w:color="000000" w:sz="4" w:space="0"/>
              <w:left w:val="single" w:color="000000" w:sz="4" w:space="0"/>
              <w:bottom w:val="single" w:color="000000" w:sz="4" w:space="0"/>
              <w:right w:val="single" w:color="000000" w:sz="4" w:space="0"/>
            </w:tcBorders>
            <w:noWrap w:val="0"/>
            <w:vAlign w:val="center"/>
          </w:tcPr>
          <w:p w14:paraId="0DBECF2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技术</w:t>
            </w:r>
            <w:r>
              <w:rPr>
                <w:rFonts w:hint="eastAsia" w:ascii="宋体" w:hAnsi="宋体" w:eastAsia="宋体" w:cs="宋体"/>
                <w:b/>
                <w:bCs/>
                <w:i w:val="0"/>
                <w:iCs w:val="0"/>
                <w:color w:val="000000"/>
                <w:kern w:val="0"/>
                <w:sz w:val="24"/>
                <w:szCs w:val="24"/>
                <w:highlight w:val="none"/>
                <w:u w:val="none"/>
                <w:lang w:val="en-US" w:eastAsia="zh-CN" w:bidi="ar"/>
              </w:rPr>
              <w:t>参数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5C56A00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14:paraId="04F2572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数量</w:t>
            </w:r>
          </w:p>
        </w:tc>
      </w:tr>
      <w:tr w14:paraId="2ACF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3" w:hRule="atLeast"/>
        </w:trPr>
        <w:tc>
          <w:tcPr>
            <w:tcW w:w="241" w:type="pct"/>
            <w:tcBorders>
              <w:top w:val="single" w:color="000000" w:sz="4" w:space="0"/>
              <w:left w:val="single" w:color="000000" w:sz="4" w:space="0"/>
              <w:bottom w:val="single" w:color="000000" w:sz="4" w:space="0"/>
              <w:right w:val="single" w:color="000000" w:sz="4" w:space="0"/>
            </w:tcBorders>
            <w:noWrap/>
            <w:vAlign w:val="center"/>
          </w:tcPr>
          <w:p w14:paraId="1D4FC6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14:paraId="163883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直线加速器</w:t>
            </w:r>
          </w:p>
        </w:tc>
        <w:tc>
          <w:tcPr>
            <w:tcW w:w="3707" w:type="pct"/>
            <w:tcBorders>
              <w:top w:val="single" w:color="000000" w:sz="4" w:space="0"/>
              <w:left w:val="single" w:color="000000" w:sz="4" w:space="0"/>
              <w:bottom w:val="single" w:color="000000" w:sz="4" w:space="0"/>
              <w:right w:val="single" w:color="000000" w:sz="4" w:space="0"/>
            </w:tcBorders>
            <w:noWrap w:val="0"/>
            <w:vAlign w:val="top"/>
          </w:tcPr>
          <w:p w14:paraId="50AB4E08">
            <w:pPr>
              <w:keepNext w:val="0"/>
              <w:keepLines w:val="0"/>
              <w:widowControl/>
              <w:numPr>
                <w:ilvl w:val="0"/>
                <w:numId w:val="23"/>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加速器核心结构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1.1</w:t>
            </w:r>
            <w:r>
              <w:rPr>
                <w:rFonts w:hint="eastAsia" w:ascii="宋体" w:hAnsi="宋体" w:eastAsia="宋体" w:cs="宋体"/>
                <w:i w:val="0"/>
                <w:iCs w:val="0"/>
                <w:color w:val="000000"/>
                <w:kern w:val="0"/>
                <w:sz w:val="24"/>
                <w:szCs w:val="24"/>
                <w:highlight w:val="none"/>
                <w:u w:val="none"/>
                <w:lang w:val="en-US" w:eastAsia="zh-CN" w:bidi="ar"/>
              </w:rPr>
              <w:t>加速管类型：驻波或行波。</w:t>
            </w:r>
          </w:p>
          <w:p w14:paraId="633A771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1.2</w:t>
            </w:r>
            <w:r>
              <w:rPr>
                <w:rFonts w:hint="eastAsia" w:ascii="宋体" w:hAnsi="宋体" w:eastAsia="宋体" w:cs="宋体"/>
                <w:i w:val="0"/>
                <w:iCs w:val="0"/>
                <w:color w:val="000000"/>
                <w:kern w:val="0"/>
                <w:sz w:val="24"/>
                <w:szCs w:val="24"/>
                <w:highlight w:val="none"/>
                <w:u w:val="none"/>
                <w:lang w:val="en-US" w:eastAsia="zh-CN" w:bidi="ar"/>
              </w:rPr>
              <w:t>电子枪类型：数字化栅控电子枪。</w:t>
            </w:r>
          </w:p>
          <w:p w14:paraId="373268D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1.3</w:t>
            </w:r>
            <w:r>
              <w:rPr>
                <w:rFonts w:hint="eastAsia" w:ascii="宋体" w:hAnsi="宋体" w:eastAsia="宋体" w:cs="宋体"/>
                <w:i w:val="0"/>
                <w:iCs w:val="0"/>
                <w:color w:val="000000"/>
                <w:kern w:val="0"/>
                <w:sz w:val="24"/>
                <w:szCs w:val="24"/>
                <w:highlight w:val="none"/>
                <w:u w:val="none"/>
                <w:lang w:val="en-US" w:eastAsia="zh-CN" w:bidi="ar"/>
              </w:rPr>
              <w:t>微波功率装置：磁控管。</w:t>
            </w:r>
          </w:p>
          <w:p w14:paraId="56C596A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1.4</w:t>
            </w:r>
            <w:r>
              <w:rPr>
                <w:rFonts w:hint="eastAsia" w:ascii="宋体" w:hAnsi="宋体" w:eastAsia="宋体" w:cs="宋体"/>
                <w:i w:val="0"/>
                <w:iCs w:val="0"/>
                <w:color w:val="000000"/>
                <w:kern w:val="0"/>
                <w:sz w:val="24"/>
                <w:szCs w:val="24"/>
                <w:highlight w:val="none"/>
                <w:u w:val="none"/>
                <w:lang w:val="en-US" w:eastAsia="zh-CN" w:bidi="ar"/>
              </w:rPr>
              <w:t>微波输出峰值功率≥3MW。</w:t>
            </w:r>
          </w:p>
          <w:p w14:paraId="792F084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1.5</w:t>
            </w:r>
            <w:r>
              <w:rPr>
                <w:rFonts w:hint="eastAsia" w:ascii="宋体" w:hAnsi="宋体" w:eastAsia="宋体" w:cs="宋体"/>
                <w:i w:val="0"/>
                <w:iCs w:val="0"/>
                <w:color w:val="000000"/>
                <w:kern w:val="0"/>
                <w:sz w:val="24"/>
                <w:szCs w:val="24"/>
                <w:highlight w:val="none"/>
                <w:u w:val="none"/>
                <w:lang w:val="en-US" w:eastAsia="zh-CN" w:bidi="ar"/>
              </w:rPr>
              <w:t>加速器工作模式：应具有临床日检模式、治疗模式、验证模式、服务模式。</w:t>
            </w:r>
          </w:p>
          <w:p w14:paraId="338701C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1.6</w:t>
            </w:r>
            <w:r>
              <w:rPr>
                <w:rFonts w:hint="eastAsia" w:ascii="宋体" w:hAnsi="宋体" w:eastAsia="宋体" w:cs="宋体"/>
                <w:i w:val="0"/>
                <w:iCs w:val="0"/>
                <w:color w:val="000000"/>
                <w:kern w:val="0"/>
                <w:sz w:val="24"/>
                <w:szCs w:val="24"/>
                <w:highlight w:val="none"/>
                <w:u w:val="none"/>
                <w:lang w:val="en-US" w:eastAsia="zh-CN" w:bidi="ar"/>
              </w:rPr>
              <w:t>室内配置两个显示器：治疗时机架两边都能显示所有治疗参数（所有机械位置数据、射线设置参数等），在维修时可实时显示所有机械和电气数据。带液晶触摸显示屏遥控器≥1个，能同时控制所有机械运动。具有速度可调功能，带液晶触摸显示屏，可调整机器参数，加载卸载患者治疗射野，具备激光扫描患者条形码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二、X线射线束特性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2.1</w:t>
            </w:r>
            <w:r>
              <w:rPr>
                <w:rFonts w:hint="eastAsia" w:ascii="宋体" w:hAnsi="宋体" w:eastAsia="宋体" w:cs="宋体"/>
                <w:i w:val="0"/>
                <w:iCs w:val="0"/>
                <w:color w:val="000000"/>
                <w:kern w:val="0"/>
                <w:sz w:val="24"/>
                <w:szCs w:val="24"/>
                <w:highlight w:val="none"/>
                <w:u w:val="none"/>
                <w:lang w:val="en-US" w:eastAsia="zh-CN" w:bidi="ar"/>
              </w:rPr>
              <w:t>光子能量数：具备双光子能量，分别用于治疗和成像。</w:t>
            </w:r>
          </w:p>
          <w:p w14:paraId="442F4FC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2.2 </w:t>
            </w:r>
            <w:r>
              <w:rPr>
                <w:rFonts w:hint="eastAsia" w:ascii="宋体" w:hAnsi="宋体" w:eastAsia="宋体" w:cs="宋体"/>
                <w:i w:val="0"/>
                <w:iCs w:val="0"/>
                <w:color w:val="000000"/>
                <w:kern w:val="0"/>
                <w:sz w:val="24"/>
                <w:szCs w:val="24"/>
                <w:highlight w:val="none"/>
                <w:u w:val="none"/>
                <w:lang w:val="en-US" w:eastAsia="zh-CN" w:bidi="ar"/>
              </w:rPr>
              <w:t>X线能量：具备6MV光子治疗能量。</w:t>
            </w:r>
          </w:p>
          <w:p w14:paraId="6DB9C02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2.3 </w:t>
            </w:r>
            <w:r>
              <w:rPr>
                <w:rFonts w:hint="eastAsia" w:ascii="宋体" w:hAnsi="宋体" w:eastAsia="宋体" w:cs="宋体"/>
                <w:i w:val="0"/>
                <w:iCs w:val="0"/>
                <w:color w:val="000000"/>
                <w:kern w:val="0"/>
                <w:sz w:val="24"/>
                <w:szCs w:val="24"/>
                <w:highlight w:val="none"/>
                <w:u w:val="none"/>
                <w:lang w:val="en-US" w:eastAsia="zh-CN" w:bidi="ar"/>
              </w:rPr>
              <w:t>X线能量：具备1.5MV成像能量。</w:t>
            </w:r>
          </w:p>
          <w:p w14:paraId="346A051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2.4 </w:t>
            </w:r>
            <w:r>
              <w:rPr>
                <w:rFonts w:hint="eastAsia" w:ascii="宋体" w:hAnsi="宋体" w:eastAsia="宋体" w:cs="宋体"/>
                <w:i w:val="0"/>
                <w:iCs w:val="0"/>
                <w:color w:val="000000"/>
                <w:kern w:val="0"/>
                <w:sz w:val="24"/>
                <w:szCs w:val="24"/>
                <w:highlight w:val="none"/>
                <w:u w:val="none"/>
                <w:lang w:val="en-US" w:eastAsia="zh-CN" w:bidi="ar"/>
              </w:rPr>
              <w:t>6MV常规X线的最大剂量率(等中心)≥ 600MU/min。</w:t>
            </w:r>
            <w:r>
              <w:rPr>
                <w:rFonts w:hint="eastAsia" w:ascii="宋体" w:hAnsi="宋体" w:cs="宋体"/>
                <w:i w:val="0"/>
                <w:iCs w:val="0"/>
                <w:color w:val="000000"/>
                <w:kern w:val="0"/>
                <w:sz w:val="24"/>
                <w:szCs w:val="24"/>
                <w:highlight w:val="none"/>
                <w:u w:val="none"/>
                <w:lang w:val="en-US" w:eastAsia="zh-CN" w:bidi="ar"/>
              </w:rPr>
              <w:t xml:space="preserve">2.5 </w:t>
            </w:r>
            <w:r>
              <w:rPr>
                <w:rFonts w:hint="eastAsia" w:ascii="宋体" w:hAnsi="宋体" w:eastAsia="宋体" w:cs="宋体"/>
                <w:i w:val="0"/>
                <w:iCs w:val="0"/>
                <w:color w:val="000000"/>
                <w:kern w:val="0"/>
                <w:sz w:val="24"/>
                <w:szCs w:val="24"/>
                <w:highlight w:val="none"/>
                <w:u w:val="none"/>
                <w:lang w:val="en-US" w:eastAsia="zh-CN" w:bidi="ar"/>
              </w:rPr>
              <w:t>均整X线剂量率：剂量率可调范围≥5档 。</w:t>
            </w:r>
          </w:p>
          <w:p w14:paraId="361646E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2.6 </w:t>
            </w:r>
            <w:r>
              <w:rPr>
                <w:rFonts w:hint="eastAsia" w:ascii="宋体" w:hAnsi="宋体" w:eastAsia="宋体" w:cs="宋体"/>
                <w:i w:val="0"/>
                <w:iCs w:val="0"/>
                <w:color w:val="000000"/>
                <w:kern w:val="0"/>
                <w:sz w:val="24"/>
                <w:szCs w:val="24"/>
                <w:highlight w:val="none"/>
                <w:u w:val="none"/>
                <w:lang w:val="en-US" w:eastAsia="zh-CN" w:bidi="ar"/>
              </w:rPr>
              <w:t>6MV的X线最大剂量建成深度 Dmax1.6±0.15cm (FF,10x10cm, SSD=100cm)。</w:t>
            </w:r>
          </w:p>
          <w:p w14:paraId="72FC6BA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2.7</w:t>
            </w:r>
            <w:r>
              <w:rPr>
                <w:rFonts w:hint="eastAsia" w:ascii="宋体" w:hAnsi="宋体" w:eastAsia="宋体" w:cs="宋体"/>
                <w:i w:val="0"/>
                <w:iCs w:val="0"/>
                <w:color w:val="000000"/>
                <w:kern w:val="0"/>
                <w:sz w:val="24"/>
                <w:szCs w:val="24"/>
                <w:highlight w:val="none"/>
                <w:u w:val="none"/>
                <w:lang w:val="en-US" w:eastAsia="zh-CN" w:bidi="ar"/>
              </w:rPr>
              <w:t>均整剂量模式FF：具备FF均整剂量。</w:t>
            </w:r>
          </w:p>
          <w:p w14:paraId="764246F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2.8 </w:t>
            </w:r>
            <w:r>
              <w:rPr>
                <w:rFonts w:hint="eastAsia" w:ascii="宋体" w:hAnsi="宋体" w:eastAsia="宋体" w:cs="宋体"/>
                <w:i w:val="0"/>
                <w:iCs w:val="0"/>
                <w:color w:val="000000"/>
                <w:kern w:val="0"/>
                <w:sz w:val="24"/>
                <w:szCs w:val="24"/>
                <w:highlight w:val="none"/>
                <w:u w:val="none"/>
                <w:lang w:val="en-US" w:eastAsia="zh-CN" w:bidi="ar"/>
              </w:rPr>
              <w:t>射野尺寸范围(TSD=100cm)：最小 0.5cm*0.5cm；最大 40cm*40cm。</w:t>
            </w:r>
          </w:p>
          <w:p w14:paraId="471486F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2.9</w:t>
            </w:r>
            <w:r>
              <w:rPr>
                <w:rFonts w:hint="eastAsia" w:ascii="宋体" w:hAnsi="宋体" w:eastAsia="宋体" w:cs="宋体"/>
                <w:i w:val="0"/>
                <w:iCs w:val="0"/>
                <w:color w:val="000000"/>
                <w:kern w:val="0"/>
                <w:sz w:val="24"/>
                <w:szCs w:val="24"/>
                <w:highlight w:val="none"/>
                <w:u w:val="none"/>
                <w:lang w:val="en-US" w:eastAsia="zh-CN" w:bidi="ar"/>
              </w:rPr>
              <w:t>剂量重复性≤0.5%。</w:t>
            </w:r>
          </w:p>
          <w:p w14:paraId="51878E9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2.10</w:t>
            </w:r>
            <w:r>
              <w:rPr>
                <w:rFonts w:hint="eastAsia" w:ascii="宋体" w:hAnsi="宋体" w:eastAsia="宋体" w:cs="宋体"/>
                <w:i w:val="0"/>
                <w:iCs w:val="0"/>
                <w:color w:val="000000"/>
                <w:kern w:val="0"/>
                <w:sz w:val="24"/>
                <w:szCs w:val="24"/>
                <w:highlight w:val="none"/>
                <w:u w:val="none"/>
                <w:lang w:val="en-US" w:eastAsia="zh-CN" w:bidi="ar"/>
              </w:rPr>
              <w:t>剂量线性度±1%。</w:t>
            </w:r>
          </w:p>
          <w:p w14:paraId="41E44CD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2.11</w:t>
            </w:r>
            <w:r>
              <w:rPr>
                <w:rFonts w:hint="eastAsia" w:ascii="宋体" w:hAnsi="宋体" w:eastAsia="宋体" w:cs="宋体"/>
                <w:i w:val="0"/>
                <w:iCs w:val="0"/>
                <w:color w:val="000000"/>
                <w:kern w:val="0"/>
                <w:sz w:val="24"/>
                <w:szCs w:val="24"/>
                <w:highlight w:val="none"/>
                <w:u w:val="none"/>
                <w:lang w:val="en-US" w:eastAsia="zh-CN" w:bidi="ar"/>
              </w:rPr>
              <w:t>所有能量的X线对称性 ≤103%。</w:t>
            </w:r>
          </w:p>
          <w:p w14:paraId="7BFD47F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2.12 </w:t>
            </w:r>
            <w:r>
              <w:rPr>
                <w:rFonts w:hint="eastAsia" w:ascii="宋体" w:hAnsi="宋体" w:eastAsia="宋体" w:cs="宋体"/>
                <w:i w:val="0"/>
                <w:iCs w:val="0"/>
                <w:color w:val="000000"/>
                <w:kern w:val="0"/>
                <w:sz w:val="24"/>
                <w:szCs w:val="24"/>
                <w:highlight w:val="none"/>
                <w:u w:val="none"/>
                <w:lang w:val="en-US" w:eastAsia="zh-CN" w:bidi="ar"/>
              </w:rPr>
              <w:t>X线能量平坦度≤106%。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三、剂量监测系统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3.1</w:t>
            </w:r>
            <w:r>
              <w:rPr>
                <w:rFonts w:hint="eastAsia" w:ascii="宋体" w:hAnsi="宋体" w:eastAsia="宋体" w:cs="宋体"/>
                <w:i w:val="0"/>
                <w:iCs w:val="0"/>
                <w:color w:val="000000"/>
                <w:kern w:val="0"/>
                <w:sz w:val="24"/>
                <w:szCs w:val="24"/>
                <w:highlight w:val="none"/>
                <w:u w:val="none"/>
                <w:lang w:val="en-US" w:eastAsia="zh-CN" w:bidi="ar"/>
              </w:rPr>
              <w:t>电离室结构：封闭式电离室。</w:t>
            </w:r>
          </w:p>
          <w:p w14:paraId="4590082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3.2</w:t>
            </w:r>
            <w:r>
              <w:rPr>
                <w:rFonts w:hint="eastAsia" w:ascii="宋体" w:hAnsi="宋体" w:eastAsia="宋体" w:cs="宋体"/>
                <w:i w:val="0"/>
                <w:iCs w:val="0"/>
                <w:color w:val="000000"/>
                <w:kern w:val="0"/>
                <w:sz w:val="24"/>
                <w:szCs w:val="24"/>
                <w:highlight w:val="none"/>
                <w:u w:val="none"/>
                <w:lang w:val="en-US" w:eastAsia="zh-CN" w:bidi="ar"/>
              </w:rPr>
              <w:t>电离室通道数设计：双通道电离室或多通道电离室。</w:t>
            </w:r>
            <w:r>
              <w:rPr>
                <w:rFonts w:hint="eastAsia" w:ascii="宋体" w:hAnsi="宋体" w:cs="宋体"/>
                <w:i w:val="0"/>
                <w:iCs w:val="0"/>
                <w:color w:val="000000"/>
                <w:kern w:val="0"/>
                <w:sz w:val="24"/>
                <w:szCs w:val="24"/>
                <w:highlight w:val="none"/>
                <w:u w:val="none"/>
                <w:lang w:val="en-US" w:eastAsia="zh-CN" w:bidi="ar"/>
              </w:rPr>
              <w:t xml:space="preserve">3.3 </w:t>
            </w:r>
            <w:r>
              <w:rPr>
                <w:rFonts w:hint="eastAsia" w:ascii="宋体" w:hAnsi="宋体" w:eastAsia="宋体" w:cs="宋体"/>
                <w:i w:val="0"/>
                <w:iCs w:val="0"/>
                <w:color w:val="000000"/>
                <w:kern w:val="0"/>
                <w:sz w:val="24"/>
                <w:szCs w:val="24"/>
                <w:highlight w:val="none"/>
                <w:u w:val="none"/>
                <w:lang w:val="en-US" w:eastAsia="zh-CN" w:bidi="ar"/>
              </w:rPr>
              <w:t>电离室自动校正：电离室具备温度气压自动校正功能。</w:t>
            </w:r>
          </w:p>
          <w:p w14:paraId="15988A9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3.4</w:t>
            </w:r>
            <w:r>
              <w:rPr>
                <w:rFonts w:hint="eastAsia" w:ascii="宋体" w:hAnsi="宋体" w:eastAsia="宋体" w:cs="宋体"/>
                <w:i w:val="0"/>
                <w:iCs w:val="0"/>
                <w:color w:val="000000"/>
                <w:kern w:val="0"/>
                <w:sz w:val="24"/>
                <w:szCs w:val="24"/>
                <w:highlight w:val="none"/>
                <w:u w:val="none"/>
                <w:lang w:val="en-US" w:eastAsia="zh-CN" w:bidi="ar"/>
              </w:rPr>
              <w:t>设备安全连锁系统：具有安全联锁自动装置。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四、机械运动系统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4.1</w:t>
            </w:r>
            <w:r>
              <w:rPr>
                <w:rFonts w:hint="eastAsia" w:ascii="宋体" w:hAnsi="宋体" w:eastAsia="宋体" w:cs="宋体"/>
                <w:i w:val="0"/>
                <w:iCs w:val="0"/>
                <w:color w:val="000000"/>
                <w:kern w:val="0"/>
                <w:sz w:val="24"/>
                <w:szCs w:val="24"/>
                <w:highlight w:val="none"/>
                <w:u w:val="none"/>
                <w:lang w:val="en-US" w:eastAsia="zh-CN" w:bidi="ar"/>
              </w:rPr>
              <w:t>机架旋转角度≥+180度顺时针和-360度逆时针方向，机架可连续旋转≥360度。</w:t>
            </w:r>
          </w:p>
          <w:p w14:paraId="69890D1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4.2</w:t>
            </w:r>
            <w:r>
              <w:rPr>
                <w:rFonts w:hint="eastAsia" w:ascii="宋体" w:hAnsi="宋体" w:eastAsia="宋体" w:cs="宋体"/>
                <w:i w:val="0"/>
                <w:iCs w:val="0"/>
                <w:color w:val="000000"/>
                <w:kern w:val="0"/>
                <w:sz w:val="24"/>
                <w:szCs w:val="24"/>
                <w:highlight w:val="none"/>
                <w:u w:val="none"/>
                <w:lang w:val="en-US" w:eastAsia="zh-CN" w:bidi="ar"/>
              </w:rPr>
              <w:t>机架结构：机架结构为中心孔洞开放式，可容纳病人进出孔洞以便进行IGRT图像采集。</w:t>
            </w:r>
          </w:p>
          <w:p w14:paraId="6DD4C35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4.3 </w:t>
            </w:r>
            <w:r>
              <w:rPr>
                <w:rFonts w:hint="eastAsia" w:ascii="宋体" w:hAnsi="宋体" w:eastAsia="宋体" w:cs="宋体"/>
                <w:i w:val="0"/>
                <w:iCs w:val="0"/>
                <w:color w:val="000000"/>
                <w:kern w:val="0"/>
                <w:sz w:val="24"/>
                <w:szCs w:val="24"/>
                <w:highlight w:val="none"/>
                <w:u w:val="none"/>
                <w:lang w:val="en-US" w:eastAsia="zh-CN" w:bidi="ar"/>
              </w:rPr>
              <w:t>SAD距离：100±0.2cm。</w:t>
            </w:r>
          </w:p>
          <w:p w14:paraId="39BD63F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4.4 </w:t>
            </w:r>
            <w:r>
              <w:rPr>
                <w:rFonts w:hint="eastAsia" w:ascii="宋体" w:hAnsi="宋体" w:eastAsia="宋体" w:cs="宋体"/>
                <w:i w:val="0"/>
                <w:iCs w:val="0"/>
                <w:color w:val="000000"/>
                <w:kern w:val="0"/>
                <w:sz w:val="24"/>
                <w:szCs w:val="24"/>
                <w:highlight w:val="none"/>
                <w:u w:val="none"/>
                <w:lang w:val="en-US" w:eastAsia="zh-CN" w:bidi="ar"/>
              </w:rPr>
              <w:t>机械等中心精度≤0.75mm半径球体。</w:t>
            </w:r>
          </w:p>
          <w:p w14:paraId="19B6C2B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4.5 </w:t>
            </w:r>
            <w:r>
              <w:rPr>
                <w:rFonts w:hint="eastAsia" w:ascii="宋体" w:hAnsi="宋体" w:eastAsia="宋体" w:cs="宋体"/>
                <w:i w:val="0"/>
                <w:iCs w:val="0"/>
                <w:color w:val="000000"/>
                <w:kern w:val="0"/>
                <w:sz w:val="24"/>
                <w:szCs w:val="24"/>
                <w:highlight w:val="none"/>
                <w:u w:val="none"/>
                <w:lang w:val="en-US" w:eastAsia="zh-CN" w:bidi="ar"/>
              </w:rPr>
              <w:t>等中心高度 ≤130cm。</w:t>
            </w:r>
          </w:p>
          <w:p w14:paraId="11116EE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4.6 </w:t>
            </w:r>
            <w:r>
              <w:rPr>
                <w:rFonts w:hint="eastAsia" w:ascii="宋体" w:hAnsi="宋体" w:eastAsia="宋体" w:cs="宋体"/>
                <w:i w:val="0"/>
                <w:iCs w:val="0"/>
                <w:color w:val="000000"/>
                <w:kern w:val="0"/>
                <w:sz w:val="24"/>
                <w:szCs w:val="24"/>
                <w:highlight w:val="none"/>
                <w:u w:val="none"/>
                <w:lang w:val="en-US" w:eastAsia="zh-CN" w:bidi="ar"/>
              </w:rPr>
              <w:t>机架、准直器和治疗床等中心精度≤1.0mm半径球体。</w:t>
            </w:r>
          </w:p>
          <w:p w14:paraId="51FB99C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4.7</w:t>
            </w:r>
            <w:r>
              <w:rPr>
                <w:rFonts w:hint="eastAsia" w:ascii="宋体" w:hAnsi="宋体" w:eastAsia="宋体" w:cs="宋体"/>
                <w:i w:val="0"/>
                <w:iCs w:val="0"/>
                <w:color w:val="000000"/>
                <w:kern w:val="0"/>
                <w:sz w:val="24"/>
                <w:szCs w:val="24"/>
                <w:highlight w:val="none"/>
                <w:u w:val="none"/>
                <w:lang w:val="en-US" w:eastAsia="zh-CN" w:bidi="ar"/>
              </w:rPr>
              <w:t>治疗空间：等中心到治疗头的净空间距离＞48cm。</w:t>
            </w:r>
            <w:r>
              <w:rPr>
                <w:rFonts w:hint="eastAsia" w:ascii="宋体" w:hAnsi="宋体" w:cs="宋体"/>
                <w:i w:val="0"/>
                <w:iCs w:val="0"/>
                <w:color w:val="000000"/>
                <w:kern w:val="0"/>
                <w:sz w:val="24"/>
                <w:szCs w:val="24"/>
                <w:highlight w:val="none"/>
                <w:u w:val="none"/>
                <w:lang w:val="en-US" w:eastAsia="zh-CN" w:bidi="ar"/>
              </w:rPr>
              <w:t>4.8</w:t>
            </w:r>
            <w:r>
              <w:rPr>
                <w:rFonts w:hint="eastAsia" w:ascii="宋体" w:hAnsi="宋体" w:eastAsia="宋体" w:cs="宋体"/>
                <w:i w:val="0"/>
                <w:iCs w:val="0"/>
                <w:color w:val="000000"/>
                <w:kern w:val="0"/>
                <w:sz w:val="24"/>
                <w:szCs w:val="24"/>
                <w:highlight w:val="none"/>
                <w:u w:val="none"/>
                <w:lang w:val="en-US" w:eastAsia="zh-CN" w:bidi="ar"/>
              </w:rPr>
              <w:t>机架旋转精度≤0.1°。</w:t>
            </w:r>
          </w:p>
          <w:p w14:paraId="2B88720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4.9</w:t>
            </w:r>
            <w:r>
              <w:rPr>
                <w:rFonts w:hint="eastAsia" w:ascii="宋体" w:hAnsi="宋体" w:eastAsia="宋体" w:cs="宋体"/>
                <w:i w:val="0"/>
                <w:iCs w:val="0"/>
                <w:color w:val="000000"/>
                <w:kern w:val="0"/>
                <w:sz w:val="24"/>
                <w:szCs w:val="24"/>
                <w:highlight w:val="none"/>
                <w:u w:val="none"/>
                <w:lang w:val="en-US" w:eastAsia="zh-CN" w:bidi="ar"/>
              </w:rPr>
              <w:t>准直器系统（钨门）：上下两对可独立移动准直器。</w:t>
            </w:r>
            <w:r>
              <w:rPr>
                <w:rFonts w:hint="eastAsia" w:ascii="宋体" w:hAnsi="宋体" w:cs="宋体"/>
                <w:i w:val="0"/>
                <w:iCs w:val="0"/>
                <w:color w:val="000000"/>
                <w:kern w:val="0"/>
                <w:sz w:val="24"/>
                <w:szCs w:val="24"/>
                <w:highlight w:val="none"/>
                <w:u w:val="none"/>
                <w:lang w:val="en-US" w:eastAsia="zh-CN" w:bidi="ar"/>
              </w:rPr>
              <w:t xml:space="preserve">4.10 </w:t>
            </w:r>
            <w:r>
              <w:rPr>
                <w:rFonts w:hint="eastAsia" w:ascii="宋体" w:hAnsi="宋体" w:eastAsia="宋体" w:cs="宋体"/>
                <w:i w:val="0"/>
                <w:iCs w:val="0"/>
                <w:color w:val="000000"/>
                <w:kern w:val="0"/>
                <w:sz w:val="24"/>
                <w:szCs w:val="24"/>
                <w:highlight w:val="none"/>
                <w:u w:val="none"/>
                <w:lang w:val="en-US" w:eastAsia="zh-CN" w:bidi="ar"/>
              </w:rPr>
              <w:t>准直器到位精度≤1mm。</w:t>
            </w:r>
          </w:p>
          <w:p w14:paraId="2D366DE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4.11 </w:t>
            </w:r>
            <w:r>
              <w:rPr>
                <w:rFonts w:hint="eastAsia" w:ascii="宋体" w:hAnsi="宋体" w:eastAsia="宋体" w:cs="宋体"/>
                <w:i w:val="0"/>
                <w:iCs w:val="0"/>
                <w:color w:val="000000"/>
                <w:kern w:val="0"/>
                <w:sz w:val="24"/>
                <w:szCs w:val="24"/>
                <w:highlight w:val="none"/>
                <w:u w:val="none"/>
                <w:lang w:val="en-US" w:eastAsia="zh-CN" w:bidi="ar"/>
              </w:rPr>
              <w:t>准直器最大旋转范围≥+/-180°。</w:t>
            </w:r>
          </w:p>
          <w:p w14:paraId="4832B9F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4.12 </w:t>
            </w:r>
            <w:r>
              <w:rPr>
                <w:rFonts w:hint="eastAsia" w:ascii="宋体" w:hAnsi="宋体" w:eastAsia="宋体" w:cs="宋体"/>
                <w:i w:val="0"/>
                <w:iCs w:val="0"/>
                <w:color w:val="000000"/>
                <w:kern w:val="0"/>
                <w:sz w:val="24"/>
                <w:szCs w:val="24"/>
                <w:highlight w:val="none"/>
                <w:u w:val="none"/>
                <w:lang w:val="en-US" w:eastAsia="zh-CN" w:bidi="ar"/>
              </w:rPr>
              <w:t>准直器旋转精度≤0.3°。</w:t>
            </w:r>
          </w:p>
          <w:p w14:paraId="52C31B4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4.13 </w:t>
            </w:r>
            <w:r>
              <w:rPr>
                <w:rFonts w:hint="eastAsia" w:ascii="宋体" w:hAnsi="宋体" w:eastAsia="宋体" w:cs="宋体"/>
                <w:i w:val="0"/>
                <w:iCs w:val="0"/>
                <w:color w:val="000000"/>
                <w:kern w:val="0"/>
                <w:sz w:val="24"/>
                <w:szCs w:val="24"/>
                <w:highlight w:val="none"/>
                <w:u w:val="none"/>
                <w:lang w:val="en-US" w:eastAsia="zh-CN" w:bidi="ar"/>
              </w:rPr>
              <w:t>准直器旋转重复性≤0.3°。</w:t>
            </w:r>
          </w:p>
          <w:p w14:paraId="1C054B7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4.14 </w:t>
            </w:r>
            <w:r>
              <w:rPr>
                <w:rFonts w:hint="eastAsia" w:ascii="宋体" w:hAnsi="宋体" w:eastAsia="宋体" w:cs="宋体"/>
                <w:i w:val="0"/>
                <w:iCs w:val="0"/>
                <w:color w:val="000000"/>
                <w:kern w:val="0"/>
                <w:sz w:val="24"/>
                <w:szCs w:val="24"/>
                <w:highlight w:val="none"/>
                <w:u w:val="none"/>
                <w:lang w:val="en-US" w:eastAsia="zh-CN" w:bidi="ar"/>
              </w:rPr>
              <w:t>准直器最大移动速度≥2.5cm/s。</w:t>
            </w:r>
          </w:p>
          <w:p w14:paraId="34CAAF1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4.15 </w:t>
            </w:r>
            <w:r>
              <w:rPr>
                <w:rFonts w:hint="eastAsia" w:ascii="宋体" w:hAnsi="宋体" w:eastAsia="宋体" w:cs="宋体"/>
                <w:i w:val="0"/>
                <w:iCs w:val="0"/>
                <w:color w:val="000000"/>
                <w:kern w:val="0"/>
                <w:sz w:val="24"/>
                <w:szCs w:val="24"/>
                <w:highlight w:val="none"/>
                <w:u w:val="none"/>
                <w:lang w:val="en-US" w:eastAsia="zh-CN" w:bidi="ar"/>
              </w:rPr>
              <w:t>机架防碰撞模式：红外激光传感器实时检测，自动触发提醒和停止运动、束流。</w:t>
            </w:r>
          </w:p>
          <w:p w14:paraId="0958E92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4.16 </w:t>
            </w:r>
            <w:r>
              <w:rPr>
                <w:rFonts w:hint="eastAsia" w:ascii="宋体" w:hAnsi="宋体" w:eastAsia="宋体" w:cs="宋体"/>
                <w:i w:val="0"/>
                <w:iCs w:val="0"/>
                <w:color w:val="000000"/>
                <w:kern w:val="0"/>
                <w:sz w:val="24"/>
                <w:szCs w:val="24"/>
                <w:highlight w:val="none"/>
                <w:u w:val="none"/>
                <w:lang w:val="en-US" w:eastAsia="zh-CN" w:bidi="ar"/>
              </w:rPr>
              <w:t>全局建模，智能防碰撞 根据加速器、治疗床、患者、EPID的模型数据，对治疗计划的执行过程预测碰撞风险，提前对用户发出警告。</w:t>
            </w:r>
          </w:p>
          <w:p w14:paraId="0012949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4.17 </w:t>
            </w:r>
            <w:r>
              <w:rPr>
                <w:rFonts w:hint="eastAsia" w:ascii="宋体" w:hAnsi="宋体" w:eastAsia="宋体" w:cs="宋体"/>
                <w:i w:val="0"/>
                <w:iCs w:val="0"/>
                <w:color w:val="000000"/>
                <w:kern w:val="0"/>
                <w:sz w:val="24"/>
                <w:szCs w:val="24"/>
                <w:highlight w:val="none"/>
                <w:u w:val="none"/>
                <w:lang w:val="en-US" w:eastAsia="zh-CN" w:bidi="ar"/>
              </w:rPr>
              <w:t>全局建模，智能防碰撞 在治疗实施的过程中，实际运动可能导致机械碰撞时，会提前停止运动和束流，保护患者安全。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五、治疗床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 xml:space="preserve">5.1 </w:t>
            </w:r>
            <w:r>
              <w:rPr>
                <w:rFonts w:hint="eastAsia" w:ascii="宋体" w:hAnsi="宋体" w:eastAsia="宋体" w:cs="宋体"/>
                <w:i w:val="0"/>
                <w:iCs w:val="0"/>
                <w:color w:val="000000"/>
                <w:kern w:val="0"/>
                <w:sz w:val="24"/>
                <w:szCs w:val="24"/>
                <w:highlight w:val="none"/>
                <w:u w:val="none"/>
                <w:lang w:val="en-US" w:eastAsia="zh-CN" w:bidi="ar"/>
              </w:rPr>
              <w:t>四维运动治疗床：全碳纤维床面板，并可在控制室遥控。</w:t>
            </w:r>
          </w:p>
          <w:p w14:paraId="3ACCF19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5.2 </w:t>
            </w:r>
            <w:r>
              <w:rPr>
                <w:rFonts w:hint="eastAsia" w:ascii="宋体" w:hAnsi="宋体" w:eastAsia="宋体" w:cs="宋体"/>
                <w:i w:val="0"/>
                <w:iCs w:val="0"/>
                <w:color w:val="000000"/>
                <w:kern w:val="0"/>
                <w:sz w:val="24"/>
                <w:szCs w:val="24"/>
                <w:highlight w:val="none"/>
                <w:u w:val="none"/>
                <w:lang w:val="en-US" w:eastAsia="zh-CN" w:bidi="ar"/>
              </w:rPr>
              <w:t>运动控制：可调速运动。</w:t>
            </w:r>
          </w:p>
          <w:p w14:paraId="768F301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5.3</w:t>
            </w:r>
            <w:r>
              <w:rPr>
                <w:rFonts w:hint="eastAsia" w:ascii="宋体" w:hAnsi="宋体" w:eastAsia="宋体" w:cs="宋体"/>
                <w:i w:val="0"/>
                <w:iCs w:val="0"/>
                <w:color w:val="000000"/>
                <w:kern w:val="0"/>
                <w:sz w:val="24"/>
                <w:szCs w:val="24"/>
                <w:highlight w:val="none"/>
                <w:u w:val="none"/>
                <w:lang w:val="en-US" w:eastAsia="zh-CN" w:bidi="ar"/>
              </w:rPr>
              <w:t>具备手动控制。</w:t>
            </w:r>
          </w:p>
          <w:p w14:paraId="3A08041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5.4</w:t>
            </w:r>
            <w:r>
              <w:rPr>
                <w:rFonts w:hint="eastAsia" w:ascii="宋体" w:hAnsi="宋体" w:eastAsia="宋体" w:cs="宋体"/>
                <w:i w:val="0"/>
                <w:iCs w:val="0"/>
                <w:color w:val="000000"/>
                <w:kern w:val="0"/>
                <w:sz w:val="24"/>
                <w:szCs w:val="24"/>
                <w:highlight w:val="none"/>
                <w:u w:val="none"/>
                <w:lang w:val="en-US" w:eastAsia="zh-CN" w:bidi="ar"/>
              </w:rPr>
              <w:t>负载能力≥200公斤。</w:t>
            </w:r>
          </w:p>
          <w:p w14:paraId="671127D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5.5</w:t>
            </w:r>
            <w:r>
              <w:rPr>
                <w:rFonts w:hint="eastAsia" w:ascii="宋体" w:hAnsi="宋体" w:eastAsia="宋体" w:cs="宋体"/>
                <w:i w:val="0"/>
                <w:iCs w:val="0"/>
                <w:color w:val="000000"/>
                <w:kern w:val="0"/>
                <w:sz w:val="24"/>
                <w:szCs w:val="24"/>
                <w:highlight w:val="none"/>
                <w:u w:val="none"/>
                <w:lang w:val="en-US" w:eastAsia="zh-CN" w:bidi="ar"/>
              </w:rPr>
              <w:t>垂直移动范围：移动范围 ≥90cm。</w:t>
            </w:r>
          </w:p>
          <w:p w14:paraId="4C86197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5.6</w:t>
            </w:r>
            <w:r>
              <w:rPr>
                <w:rFonts w:hint="eastAsia" w:ascii="宋体" w:hAnsi="宋体" w:eastAsia="宋体" w:cs="宋体"/>
                <w:i w:val="0"/>
                <w:iCs w:val="0"/>
                <w:color w:val="000000"/>
                <w:kern w:val="0"/>
                <w:sz w:val="24"/>
                <w:szCs w:val="24"/>
                <w:highlight w:val="none"/>
                <w:u w:val="none"/>
                <w:lang w:val="en-US" w:eastAsia="zh-CN" w:bidi="ar"/>
              </w:rPr>
              <w:t>前后移动范围≥90cm。</w:t>
            </w:r>
          </w:p>
          <w:p w14:paraId="57DE1A3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5.7</w:t>
            </w:r>
            <w:r>
              <w:rPr>
                <w:rFonts w:hint="eastAsia" w:ascii="宋体" w:hAnsi="宋体" w:eastAsia="宋体" w:cs="宋体"/>
                <w:i w:val="0"/>
                <w:iCs w:val="0"/>
                <w:color w:val="000000"/>
                <w:kern w:val="0"/>
                <w:sz w:val="24"/>
                <w:szCs w:val="24"/>
                <w:highlight w:val="none"/>
                <w:u w:val="none"/>
                <w:lang w:val="en-US" w:eastAsia="zh-CN" w:bidi="ar"/>
              </w:rPr>
              <w:t>左右移动范围≥45cm。</w:t>
            </w:r>
          </w:p>
          <w:p w14:paraId="5B97E32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5.8 </w:t>
            </w:r>
            <w:r>
              <w:rPr>
                <w:rFonts w:hint="eastAsia" w:ascii="宋体" w:hAnsi="宋体" w:eastAsia="宋体" w:cs="宋体"/>
                <w:i w:val="0"/>
                <w:iCs w:val="0"/>
                <w:color w:val="000000"/>
                <w:kern w:val="0"/>
                <w:sz w:val="24"/>
                <w:szCs w:val="24"/>
                <w:highlight w:val="none"/>
                <w:u w:val="none"/>
                <w:lang w:val="en-US" w:eastAsia="zh-CN" w:bidi="ar"/>
              </w:rPr>
              <w:t>具备非共面治疗能力，治疗床的等中心旋转范围≥±95°。</w:t>
            </w:r>
          </w:p>
          <w:p w14:paraId="7897997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5.9</w:t>
            </w:r>
            <w:r>
              <w:rPr>
                <w:rFonts w:hint="eastAsia" w:ascii="宋体" w:hAnsi="宋体" w:eastAsia="宋体" w:cs="宋体"/>
                <w:i w:val="0"/>
                <w:iCs w:val="0"/>
                <w:color w:val="000000"/>
                <w:kern w:val="0"/>
                <w:sz w:val="24"/>
                <w:szCs w:val="24"/>
                <w:highlight w:val="none"/>
                <w:u w:val="none"/>
                <w:lang w:val="en-US" w:eastAsia="zh-CN" w:bidi="ar"/>
              </w:rPr>
              <w:t>治疗床的等中心旋转精度≤0.5°。</w:t>
            </w:r>
          </w:p>
          <w:p w14:paraId="093F877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5.10</w:t>
            </w:r>
            <w:r>
              <w:rPr>
                <w:rFonts w:hint="eastAsia" w:ascii="宋体" w:hAnsi="宋体" w:eastAsia="宋体" w:cs="宋体"/>
                <w:i w:val="0"/>
                <w:iCs w:val="0"/>
                <w:color w:val="000000"/>
                <w:kern w:val="0"/>
                <w:sz w:val="24"/>
                <w:szCs w:val="24"/>
                <w:highlight w:val="none"/>
                <w:u w:val="none"/>
                <w:lang w:val="en-US" w:eastAsia="zh-CN" w:bidi="ar"/>
              </w:rPr>
              <w:t>治疗床运动精度：0.5mm。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六、多叶准直器系统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 xml:space="preserve">6.1 </w:t>
            </w:r>
            <w:r>
              <w:rPr>
                <w:rFonts w:hint="eastAsia" w:ascii="宋体" w:hAnsi="宋体" w:eastAsia="宋体" w:cs="宋体"/>
                <w:i w:val="0"/>
                <w:iCs w:val="0"/>
                <w:color w:val="000000"/>
                <w:kern w:val="0"/>
                <w:sz w:val="24"/>
                <w:szCs w:val="24"/>
                <w:highlight w:val="none"/>
                <w:u w:val="none"/>
                <w:lang w:val="en-US" w:eastAsia="zh-CN" w:bidi="ar"/>
              </w:rPr>
              <w:t>叶片数量≥60对(射野≥40×40cm) , 或≥120叶(射野≥40×40cm)。</w:t>
            </w:r>
          </w:p>
          <w:p w14:paraId="7FC29F7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6.2</w:t>
            </w:r>
            <w:r>
              <w:rPr>
                <w:rFonts w:hint="eastAsia" w:ascii="宋体" w:hAnsi="宋体" w:eastAsia="宋体" w:cs="宋体"/>
                <w:i w:val="0"/>
                <w:iCs w:val="0"/>
                <w:color w:val="000000"/>
                <w:kern w:val="0"/>
                <w:sz w:val="24"/>
                <w:szCs w:val="24"/>
                <w:highlight w:val="none"/>
                <w:u w:val="none"/>
                <w:lang w:val="en-US" w:eastAsia="zh-CN" w:bidi="ar"/>
              </w:rPr>
              <w:t>最小叶片厚度与数量：叶片厚度5mm (中间40 对), 10mm ( 两侧20对)。</w:t>
            </w:r>
          </w:p>
          <w:p w14:paraId="6F8FE8F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6.3</w:t>
            </w:r>
            <w:r>
              <w:rPr>
                <w:rFonts w:hint="eastAsia" w:ascii="宋体" w:hAnsi="宋体" w:eastAsia="宋体" w:cs="宋体"/>
                <w:i w:val="0"/>
                <w:iCs w:val="0"/>
                <w:color w:val="000000"/>
                <w:kern w:val="0"/>
                <w:sz w:val="24"/>
                <w:szCs w:val="24"/>
                <w:highlight w:val="none"/>
                <w:u w:val="none"/>
                <w:lang w:val="en-US" w:eastAsia="zh-CN" w:bidi="ar"/>
              </w:rPr>
              <w:t>叶片过中心线最大距离≥5cm。</w:t>
            </w:r>
          </w:p>
          <w:p w14:paraId="507D429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6.4</w:t>
            </w:r>
            <w:r>
              <w:rPr>
                <w:rFonts w:hint="eastAsia" w:ascii="宋体" w:hAnsi="宋体" w:eastAsia="宋体" w:cs="宋体"/>
                <w:i w:val="0"/>
                <w:iCs w:val="0"/>
                <w:color w:val="000000"/>
                <w:kern w:val="0"/>
                <w:sz w:val="24"/>
                <w:szCs w:val="24"/>
                <w:highlight w:val="none"/>
                <w:u w:val="none"/>
                <w:lang w:val="en-US" w:eastAsia="zh-CN" w:bidi="ar"/>
              </w:rPr>
              <w:t>叶片等中心处到位精度 ≤1mm。</w:t>
            </w:r>
          </w:p>
          <w:p w14:paraId="03FE72A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6.5</w:t>
            </w:r>
            <w:r>
              <w:rPr>
                <w:rFonts w:hint="eastAsia" w:ascii="宋体" w:hAnsi="宋体" w:eastAsia="宋体" w:cs="宋体"/>
                <w:i w:val="0"/>
                <w:iCs w:val="0"/>
                <w:color w:val="000000"/>
                <w:kern w:val="0"/>
                <w:sz w:val="24"/>
                <w:szCs w:val="24"/>
                <w:highlight w:val="none"/>
                <w:u w:val="none"/>
                <w:lang w:val="en-US" w:eastAsia="zh-CN" w:bidi="ar"/>
              </w:rPr>
              <w:t>叶片等中心处移动重复精度 ≤0.5mm。</w:t>
            </w:r>
          </w:p>
          <w:p w14:paraId="3474B10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6.6</w:t>
            </w:r>
            <w:r>
              <w:rPr>
                <w:rFonts w:hint="eastAsia" w:ascii="宋体" w:hAnsi="宋体" w:eastAsia="宋体" w:cs="宋体"/>
                <w:i w:val="0"/>
                <w:iCs w:val="0"/>
                <w:color w:val="000000"/>
                <w:kern w:val="0"/>
                <w:sz w:val="24"/>
                <w:szCs w:val="24"/>
                <w:highlight w:val="none"/>
                <w:u w:val="none"/>
                <w:lang w:val="en-US" w:eastAsia="zh-CN" w:bidi="ar"/>
              </w:rPr>
              <w:t>叶片等中心处最小半影 ≤7mm。</w:t>
            </w:r>
          </w:p>
          <w:p w14:paraId="3926077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6.7</w:t>
            </w:r>
            <w:r>
              <w:rPr>
                <w:rFonts w:hint="eastAsia" w:ascii="宋体" w:hAnsi="宋体" w:eastAsia="宋体" w:cs="宋体"/>
                <w:i w:val="0"/>
                <w:iCs w:val="0"/>
                <w:color w:val="000000"/>
                <w:kern w:val="0"/>
                <w:sz w:val="24"/>
                <w:szCs w:val="24"/>
                <w:highlight w:val="none"/>
                <w:u w:val="none"/>
                <w:lang w:val="en-US" w:eastAsia="zh-CN" w:bidi="ar"/>
              </w:rPr>
              <w:t>等中心平面叶片运行最大速度 ≥5cm/s。</w:t>
            </w:r>
          </w:p>
          <w:p w14:paraId="503DD6E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6.8</w:t>
            </w:r>
            <w:r>
              <w:rPr>
                <w:rFonts w:hint="eastAsia" w:ascii="宋体" w:hAnsi="宋体" w:eastAsia="宋体" w:cs="宋体"/>
                <w:i w:val="0"/>
                <w:iCs w:val="0"/>
                <w:color w:val="000000"/>
                <w:kern w:val="0"/>
                <w:sz w:val="24"/>
                <w:szCs w:val="24"/>
                <w:highlight w:val="none"/>
                <w:u w:val="none"/>
                <w:lang w:val="en-US" w:eastAsia="zh-CN" w:bidi="ar"/>
              </w:rPr>
              <w:t>最大IMRT射野 ≥40cm×40cm。</w:t>
            </w:r>
          </w:p>
          <w:p w14:paraId="432DCA7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6.9</w:t>
            </w:r>
            <w:r>
              <w:rPr>
                <w:rFonts w:hint="eastAsia" w:ascii="宋体" w:hAnsi="宋体" w:eastAsia="宋体" w:cs="宋体"/>
                <w:i w:val="0"/>
                <w:iCs w:val="0"/>
                <w:color w:val="000000"/>
                <w:kern w:val="0"/>
                <w:sz w:val="24"/>
                <w:szCs w:val="24"/>
                <w:highlight w:val="none"/>
                <w:u w:val="none"/>
                <w:lang w:val="en-US" w:eastAsia="zh-CN" w:bidi="ar"/>
              </w:rPr>
              <w:t>钨门射野追随功能：钨门在治疗中自动追随射野，降低野外漏射剂量。</w:t>
            </w:r>
          </w:p>
          <w:p w14:paraId="119FD2E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6.10叶片漏射（不含钨门）≤0.5%。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七、提供MV图像引导系统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 xml:space="preserve">7.1 </w:t>
            </w:r>
            <w:r>
              <w:rPr>
                <w:rFonts w:hint="eastAsia" w:ascii="宋体" w:hAnsi="宋体" w:eastAsia="宋体" w:cs="宋体"/>
                <w:i w:val="0"/>
                <w:iCs w:val="0"/>
                <w:color w:val="000000"/>
                <w:kern w:val="0"/>
                <w:sz w:val="24"/>
                <w:szCs w:val="24"/>
                <w:highlight w:val="none"/>
                <w:u w:val="none"/>
                <w:lang w:val="en-US" w:eastAsia="zh-CN" w:bidi="ar"/>
              </w:rPr>
              <w:t xml:space="preserve">提供硬件系统要求 </w:t>
            </w:r>
          </w:p>
          <w:p w14:paraId="3A2E335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7.1.1 </w:t>
            </w:r>
            <w:r>
              <w:rPr>
                <w:rFonts w:hint="eastAsia" w:ascii="宋体" w:hAnsi="宋体" w:eastAsia="宋体" w:cs="宋体"/>
                <w:i w:val="0"/>
                <w:iCs w:val="0"/>
                <w:color w:val="000000"/>
                <w:kern w:val="0"/>
                <w:sz w:val="24"/>
                <w:szCs w:val="24"/>
                <w:highlight w:val="none"/>
                <w:u w:val="none"/>
                <w:lang w:val="en-US" w:eastAsia="zh-CN" w:bidi="ar"/>
              </w:rPr>
              <w:t>成像方式：采用“非晶态硅”的平板型检测器。</w:t>
            </w:r>
          </w:p>
          <w:p w14:paraId="4855B18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7.1.2</w:t>
            </w:r>
            <w:r>
              <w:rPr>
                <w:rFonts w:hint="eastAsia" w:ascii="宋体" w:hAnsi="宋体" w:eastAsia="宋体" w:cs="宋体"/>
                <w:i w:val="0"/>
                <w:iCs w:val="0"/>
                <w:color w:val="000000"/>
                <w:kern w:val="0"/>
                <w:sz w:val="24"/>
                <w:szCs w:val="24"/>
                <w:highlight w:val="none"/>
                <w:u w:val="none"/>
                <w:lang w:val="en-US" w:eastAsia="zh-CN" w:bidi="ar"/>
              </w:rPr>
              <w:t>整体探测器：动态整体板，非拼接平板。</w:t>
            </w:r>
          </w:p>
          <w:p w14:paraId="05C160F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7.1.3 </w:t>
            </w:r>
            <w:r>
              <w:rPr>
                <w:rFonts w:hint="eastAsia" w:ascii="宋体" w:hAnsi="宋体" w:eastAsia="宋体" w:cs="宋体"/>
                <w:i w:val="0"/>
                <w:iCs w:val="0"/>
                <w:color w:val="000000"/>
                <w:kern w:val="0"/>
                <w:sz w:val="24"/>
                <w:szCs w:val="24"/>
                <w:highlight w:val="none"/>
                <w:u w:val="none"/>
                <w:lang w:val="en-US" w:eastAsia="zh-CN" w:bidi="ar"/>
              </w:rPr>
              <w:t>成像能量≤2MV治疗能量成像。</w:t>
            </w:r>
          </w:p>
          <w:p w14:paraId="0B61332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7.1.4 </w:t>
            </w:r>
            <w:r>
              <w:rPr>
                <w:rFonts w:hint="eastAsia" w:ascii="宋体" w:hAnsi="宋体" w:eastAsia="宋体" w:cs="宋体"/>
                <w:i w:val="0"/>
                <w:iCs w:val="0"/>
                <w:color w:val="000000"/>
                <w:kern w:val="0"/>
                <w:sz w:val="24"/>
                <w:szCs w:val="24"/>
                <w:highlight w:val="none"/>
                <w:u w:val="none"/>
                <w:lang w:val="en-US" w:eastAsia="zh-CN" w:bidi="ar"/>
              </w:rPr>
              <w:t>运动方式：由马达驱动，可在X,Y,Z三轴方向运动，垂直方向运动范围≥60cm；左右移动范围≥24cm；纵向移动范围≥20cm。</w:t>
            </w:r>
          </w:p>
          <w:p w14:paraId="38B4C8F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7.1.5 </w:t>
            </w:r>
            <w:r>
              <w:rPr>
                <w:rFonts w:hint="eastAsia" w:ascii="宋体" w:hAnsi="宋体" w:eastAsia="宋体" w:cs="宋体"/>
                <w:i w:val="0"/>
                <w:iCs w:val="0"/>
                <w:color w:val="000000"/>
                <w:kern w:val="0"/>
                <w:sz w:val="24"/>
                <w:szCs w:val="24"/>
                <w:highlight w:val="none"/>
                <w:u w:val="none"/>
                <w:lang w:val="en-US" w:eastAsia="zh-CN" w:bidi="ar"/>
              </w:rPr>
              <w:t>操作方式：可在控制室操作，将平板伸出至成像位置并收回至安全位置。</w:t>
            </w:r>
          </w:p>
          <w:p w14:paraId="178C3EE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7.1.6</w:t>
            </w:r>
            <w:r>
              <w:rPr>
                <w:rFonts w:hint="eastAsia" w:ascii="宋体" w:hAnsi="宋体" w:eastAsia="宋体" w:cs="宋体"/>
                <w:i w:val="0"/>
                <w:iCs w:val="0"/>
                <w:color w:val="000000"/>
                <w:kern w:val="0"/>
                <w:sz w:val="24"/>
                <w:szCs w:val="24"/>
                <w:highlight w:val="none"/>
                <w:u w:val="none"/>
                <w:lang w:val="en-US" w:eastAsia="zh-CN" w:bidi="ar"/>
              </w:rPr>
              <w:t>有效图像感应面积 ≥41×41cm。</w:t>
            </w:r>
          </w:p>
          <w:p w14:paraId="2C0BE29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7.1.7</w:t>
            </w:r>
            <w:r>
              <w:rPr>
                <w:rFonts w:hint="eastAsia" w:ascii="宋体" w:hAnsi="宋体" w:eastAsia="宋体" w:cs="宋体"/>
                <w:i w:val="0"/>
                <w:iCs w:val="0"/>
                <w:color w:val="000000"/>
                <w:kern w:val="0"/>
                <w:sz w:val="24"/>
                <w:szCs w:val="24"/>
                <w:highlight w:val="none"/>
                <w:u w:val="none"/>
                <w:lang w:val="en-US" w:eastAsia="zh-CN" w:bidi="ar"/>
              </w:rPr>
              <w:t>空间分辨率≥1024×1024像素。</w:t>
            </w:r>
          </w:p>
          <w:p w14:paraId="01354B0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7.1.8</w:t>
            </w:r>
            <w:r>
              <w:rPr>
                <w:rFonts w:hint="eastAsia" w:ascii="宋体" w:hAnsi="宋体" w:eastAsia="宋体" w:cs="宋体"/>
                <w:i w:val="0"/>
                <w:iCs w:val="0"/>
                <w:color w:val="000000"/>
                <w:kern w:val="0"/>
                <w:sz w:val="24"/>
                <w:szCs w:val="24"/>
                <w:highlight w:val="none"/>
                <w:u w:val="none"/>
                <w:lang w:val="en-US" w:eastAsia="zh-CN" w:bidi="ar"/>
              </w:rPr>
              <w:t>像素灰度分辨率≥16bit/pixel。</w:t>
            </w:r>
          </w:p>
          <w:p w14:paraId="629299F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7.1.9 </w:t>
            </w:r>
            <w:r>
              <w:rPr>
                <w:rFonts w:hint="eastAsia" w:ascii="宋体" w:hAnsi="宋体" w:eastAsia="宋体" w:cs="宋体"/>
                <w:i w:val="0"/>
                <w:iCs w:val="0"/>
                <w:color w:val="000000"/>
                <w:kern w:val="0"/>
                <w:sz w:val="24"/>
                <w:szCs w:val="24"/>
                <w:highlight w:val="none"/>
                <w:u w:val="none"/>
                <w:lang w:val="en-US" w:eastAsia="zh-CN" w:bidi="ar"/>
              </w:rPr>
              <w:t>EPID图像采集最高速度≥30帧/秒。</w:t>
            </w:r>
          </w:p>
          <w:p w14:paraId="0829D83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7.2 </w:t>
            </w:r>
            <w:r>
              <w:rPr>
                <w:rFonts w:hint="eastAsia" w:ascii="宋体" w:hAnsi="宋体" w:eastAsia="宋体" w:cs="宋体"/>
                <w:i w:val="0"/>
                <w:iCs w:val="0"/>
                <w:color w:val="000000"/>
                <w:kern w:val="0"/>
                <w:sz w:val="24"/>
                <w:szCs w:val="24"/>
                <w:highlight w:val="none"/>
                <w:u w:val="none"/>
                <w:lang w:val="en-US" w:eastAsia="zh-CN" w:bidi="ar"/>
              </w:rPr>
              <w:t>提供EPID软件系统:</w:t>
            </w:r>
          </w:p>
          <w:p w14:paraId="19CF979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7.2.1 </w:t>
            </w:r>
            <w:r>
              <w:rPr>
                <w:rFonts w:hint="eastAsia" w:ascii="宋体" w:hAnsi="宋体" w:eastAsia="宋体" w:cs="宋体"/>
                <w:i w:val="0"/>
                <w:iCs w:val="0"/>
                <w:color w:val="000000"/>
                <w:kern w:val="0"/>
                <w:sz w:val="24"/>
                <w:szCs w:val="24"/>
                <w:highlight w:val="none"/>
                <w:u w:val="none"/>
                <w:lang w:val="en-US" w:eastAsia="zh-CN" w:bidi="ar"/>
              </w:rPr>
              <w:t>EPID软件系统要求：</w:t>
            </w:r>
            <w:r>
              <w:rPr>
                <w:rFonts w:hint="eastAsia" w:ascii="宋体" w:hAnsi="宋体" w:eastAsia="宋体" w:cs="宋体"/>
                <w:i w:val="0"/>
                <w:iCs w:val="0"/>
                <w:color w:val="auto"/>
                <w:kern w:val="0"/>
                <w:sz w:val="24"/>
                <w:szCs w:val="24"/>
                <w:highlight w:val="none"/>
                <w:u w:val="none"/>
                <w:lang w:val="en-US" w:eastAsia="zh-CN" w:bidi="ar"/>
              </w:rPr>
              <w:t>可与专</w:t>
            </w:r>
            <w:r>
              <w:rPr>
                <w:rFonts w:hint="eastAsia" w:ascii="宋体" w:hAnsi="宋体" w:eastAsia="宋体" w:cs="宋体"/>
                <w:i w:val="0"/>
                <w:iCs w:val="0"/>
                <w:color w:val="000000"/>
                <w:kern w:val="0"/>
                <w:sz w:val="24"/>
                <w:szCs w:val="24"/>
                <w:highlight w:val="none"/>
                <w:u w:val="none"/>
                <w:lang w:val="en-US" w:eastAsia="zh-CN" w:bidi="ar"/>
              </w:rPr>
              <w:t>用网络系统实现联网，并集成和共享数据，获取参考图像和存储。</w:t>
            </w:r>
          </w:p>
          <w:p w14:paraId="3AD63E9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7.2.2 </w:t>
            </w:r>
            <w:r>
              <w:rPr>
                <w:rFonts w:hint="eastAsia" w:ascii="宋体" w:hAnsi="宋体" w:eastAsia="宋体" w:cs="宋体"/>
                <w:i w:val="0"/>
                <w:iCs w:val="0"/>
                <w:color w:val="000000"/>
                <w:kern w:val="0"/>
                <w:sz w:val="24"/>
                <w:szCs w:val="24"/>
                <w:highlight w:val="none"/>
                <w:u w:val="none"/>
                <w:lang w:val="en-US" w:eastAsia="zh-CN" w:bidi="ar"/>
              </w:rPr>
              <w:t>EPID软件系统要求：可在实时影像系统的用户界面上同时察看实时成像和对比参考图像（模拟定位图像，或DRR图像），以及其他图像；即使在采集图像时，也能显示参考图像。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八、提供CBCT图像引导功能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 xml:space="preserve">8.1 </w:t>
            </w:r>
            <w:r>
              <w:rPr>
                <w:rFonts w:hint="eastAsia" w:ascii="宋体" w:hAnsi="宋体" w:eastAsia="宋体" w:cs="宋体"/>
                <w:i w:val="0"/>
                <w:iCs w:val="0"/>
                <w:color w:val="000000"/>
                <w:kern w:val="0"/>
                <w:sz w:val="24"/>
                <w:szCs w:val="24"/>
                <w:highlight w:val="none"/>
                <w:u w:val="none"/>
                <w:lang w:val="en-US" w:eastAsia="zh-CN" w:bidi="ar"/>
              </w:rPr>
              <w:t>CBCT图像最大FOV：50cm。</w:t>
            </w:r>
          </w:p>
          <w:p w14:paraId="6D633DE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8.2 </w:t>
            </w:r>
            <w:r>
              <w:rPr>
                <w:rFonts w:hint="eastAsia" w:ascii="宋体" w:hAnsi="宋体" w:eastAsia="宋体" w:cs="宋体"/>
                <w:i w:val="0"/>
                <w:iCs w:val="0"/>
                <w:color w:val="000000"/>
                <w:kern w:val="0"/>
                <w:sz w:val="24"/>
                <w:szCs w:val="24"/>
                <w:highlight w:val="none"/>
                <w:u w:val="none"/>
                <w:lang w:val="en-US" w:eastAsia="zh-CN" w:bidi="ar"/>
              </w:rPr>
              <w:t>CBCT最小成像扫描角度范围≥200°。</w:t>
            </w:r>
          </w:p>
          <w:p w14:paraId="6F3FC2F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8.3 </w:t>
            </w:r>
            <w:r>
              <w:rPr>
                <w:rFonts w:hint="eastAsia" w:ascii="宋体" w:hAnsi="宋体" w:eastAsia="宋体" w:cs="宋体"/>
                <w:i w:val="0"/>
                <w:iCs w:val="0"/>
                <w:color w:val="000000"/>
                <w:kern w:val="0"/>
                <w:sz w:val="24"/>
                <w:szCs w:val="24"/>
                <w:highlight w:val="none"/>
                <w:u w:val="none"/>
                <w:lang w:val="en-US" w:eastAsia="zh-CN" w:bidi="ar"/>
              </w:rPr>
              <w:t>基于CBCT的IGRT系统精度≤1mm。</w:t>
            </w:r>
          </w:p>
          <w:p w14:paraId="7480EF3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8.4</w:t>
            </w:r>
            <w:r>
              <w:rPr>
                <w:rFonts w:hint="eastAsia" w:ascii="宋体" w:hAnsi="宋体" w:eastAsia="宋体" w:cs="宋体"/>
                <w:i w:val="0"/>
                <w:iCs w:val="0"/>
                <w:color w:val="000000"/>
                <w:kern w:val="0"/>
                <w:sz w:val="24"/>
                <w:szCs w:val="24"/>
                <w:highlight w:val="none"/>
                <w:u w:val="none"/>
                <w:lang w:val="en-US" w:eastAsia="zh-CN" w:bidi="ar"/>
              </w:rPr>
              <w:t>治疗床自动规避功能：系统可以在偏心野扫描CBCT时，自动判断碰撞风险，将治疗床向中心移动避免碰撞并自动计算偏移量，扫描完成后治疗床自动回到原始位置。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九、EPID设备质控功能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 xml:space="preserve">9.1 </w:t>
            </w:r>
            <w:r>
              <w:rPr>
                <w:rFonts w:hint="eastAsia" w:ascii="宋体" w:hAnsi="宋体" w:eastAsia="宋体" w:cs="宋体"/>
                <w:i w:val="0"/>
                <w:iCs w:val="0"/>
                <w:color w:val="000000"/>
                <w:kern w:val="0"/>
                <w:sz w:val="24"/>
                <w:szCs w:val="24"/>
                <w:highlight w:val="none"/>
                <w:u w:val="none"/>
                <w:lang w:val="en-US" w:eastAsia="zh-CN" w:bidi="ar"/>
              </w:rPr>
              <w:t>EPID质控:MLC到位精度检测。</w:t>
            </w:r>
          </w:p>
          <w:p w14:paraId="77F362C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9.2 </w:t>
            </w:r>
            <w:r>
              <w:rPr>
                <w:rFonts w:hint="eastAsia" w:ascii="宋体" w:hAnsi="宋体" w:eastAsia="宋体" w:cs="宋体"/>
                <w:i w:val="0"/>
                <w:iCs w:val="0"/>
                <w:color w:val="000000"/>
                <w:kern w:val="0"/>
                <w:sz w:val="24"/>
                <w:szCs w:val="24"/>
                <w:highlight w:val="none"/>
                <w:u w:val="none"/>
                <w:lang w:val="en-US" w:eastAsia="zh-CN" w:bidi="ar"/>
              </w:rPr>
              <w:t>EPID质控:束流输出稳定性和平坦度检测。</w:t>
            </w:r>
          </w:p>
          <w:p w14:paraId="377E4FC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9.3 </w:t>
            </w:r>
            <w:r>
              <w:rPr>
                <w:rFonts w:hint="eastAsia" w:ascii="宋体" w:hAnsi="宋体" w:eastAsia="宋体" w:cs="宋体"/>
                <w:i w:val="0"/>
                <w:iCs w:val="0"/>
                <w:color w:val="000000"/>
                <w:kern w:val="0"/>
                <w:sz w:val="24"/>
                <w:szCs w:val="24"/>
                <w:highlight w:val="none"/>
                <w:u w:val="none"/>
                <w:lang w:val="en-US" w:eastAsia="zh-CN" w:bidi="ar"/>
              </w:rPr>
              <w:t>EPID质控:束流中心偏移量检测。</w:t>
            </w:r>
          </w:p>
          <w:p w14:paraId="531A095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9.4 </w:t>
            </w:r>
            <w:r>
              <w:rPr>
                <w:rFonts w:hint="eastAsia" w:ascii="宋体" w:hAnsi="宋体" w:eastAsia="宋体" w:cs="宋体"/>
                <w:i w:val="0"/>
                <w:iCs w:val="0"/>
                <w:color w:val="000000"/>
                <w:kern w:val="0"/>
                <w:sz w:val="24"/>
                <w:szCs w:val="24"/>
                <w:highlight w:val="none"/>
                <w:u w:val="none"/>
                <w:lang w:val="en-US" w:eastAsia="zh-CN" w:bidi="ar"/>
              </w:rPr>
              <w:t>EPID质控:机架机械性能验证。</w:t>
            </w:r>
          </w:p>
          <w:p w14:paraId="2652767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9.5 </w:t>
            </w:r>
            <w:r>
              <w:rPr>
                <w:rFonts w:hint="eastAsia" w:ascii="宋体" w:hAnsi="宋体" w:eastAsia="宋体" w:cs="宋体"/>
                <w:i w:val="0"/>
                <w:iCs w:val="0"/>
                <w:color w:val="000000"/>
                <w:kern w:val="0"/>
                <w:sz w:val="24"/>
                <w:szCs w:val="24"/>
                <w:highlight w:val="none"/>
                <w:u w:val="none"/>
                <w:lang w:val="en-US" w:eastAsia="zh-CN" w:bidi="ar"/>
              </w:rPr>
              <w:t>EPID质控:治疗床精度验证。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十、KV级图像引导系统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10.1.</w:t>
            </w:r>
            <w:r>
              <w:rPr>
                <w:rFonts w:hint="eastAsia" w:ascii="宋体" w:hAnsi="宋体" w:eastAsia="宋体" w:cs="宋体"/>
                <w:i w:val="0"/>
                <w:iCs w:val="0"/>
                <w:color w:val="000000"/>
                <w:kern w:val="0"/>
                <w:sz w:val="24"/>
                <w:szCs w:val="24"/>
                <w:highlight w:val="none"/>
                <w:u w:val="none"/>
                <w:lang w:val="en-US" w:eastAsia="zh-CN" w:bidi="ar"/>
              </w:rPr>
              <w:t>硬件系统要求：提供不低于16排诊断级螺旋CT影像功能。</w:t>
            </w:r>
          </w:p>
          <w:p w14:paraId="2C6DC2A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10.1.2</w:t>
            </w:r>
            <w:r>
              <w:rPr>
                <w:rFonts w:hint="eastAsia" w:ascii="宋体" w:hAnsi="宋体" w:eastAsia="宋体" w:cs="宋体"/>
                <w:i w:val="0"/>
                <w:iCs w:val="0"/>
                <w:color w:val="000000"/>
                <w:kern w:val="0"/>
                <w:sz w:val="24"/>
                <w:szCs w:val="24"/>
                <w:highlight w:val="none"/>
                <w:u w:val="none"/>
                <w:lang w:val="en-US" w:eastAsia="zh-CN" w:bidi="ar"/>
              </w:rPr>
              <w:t>操作方式：IGRT所有的操作均可在控制室进行。</w:t>
            </w:r>
            <w:r>
              <w:rPr>
                <w:rFonts w:hint="eastAsia" w:ascii="宋体" w:hAnsi="宋体" w:cs="宋体"/>
                <w:i w:val="0"/>
                <w:iCs w:val="0"/>
                <w:color w:val="000000"/>
                <w:kern w:val="0"/>
                <w:sz w:val="24"/>
                <w:szCs w:val="24"/>
                <w:highlight w:val="none"/>
                <w:u w:val="none"/>
                <w:lang w:val="en-US" w:eastAsia="zh-CN" w:bidi="ar"/>
              </w:rPr>
              <w:t>10.1.3</w:t>
            </w:r>
            <w:r>
              <w:rPr>
                <w:rFonts w:hint="eastAsia" w:ascii="宋体" w:hAnsi="宋体" w:eastAsia="宋体" w:cs="宋体"/>
                <w:i w:val="0"/>
                <w:iCs w:val="0"/>
                <w:color w:val="000000"/>
                <w:kern w:val="0"/>
                <w:sz w:val="24"/>
                <w:szCs w:val="24"/>
                <w:highlight w:val="none"/>
                <w:u w:val="none"/>
                <w:lang w:val="en-US" w:eastAsia="zh-CN" w:bidi="ar"/>
              </w:rPr>
              <w:t>空间分辨率 ≥18 LP/CM@0MTF。</w:t>
            </w:r>
          </w:p>
          <w:p w14:paraId="78AF230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10.1.4 </w:t>
            </w:r>
            <w:r>
              <w:rPr>
                <w:rFonts w:hint="eastAsia" w:ascii="宋体" w:hAnsi="宋体" w:eastAsia="宋体" w:cs="宋体"/>
                <w:i w:val="0"/>
                <w:iCs w:val="0"/>
                <w:color w:val="000000"/>
                <w:kern w:val="0"/>
                <w:sz w:val="24"/>
                <w:szCs w:val="24"/>
                <w:highlight w:val="none"/>
                <w:u w:val="none"/>
                <w:lang w:val="en-US" w:eastAsia="zh-CN" w:bidi="ar"/>
              </w:rPr>
              <w:t>密度分辨率 ≤2mm @0.3%@40mGy。</w:t>
            </w:r>
          </w:p>
          <w:p w14:paraId="0082568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10.1.5</w:t>
            </w:r>
            <w:r>
              <w:rPr>
                <w:rFonts w:hint="eastAsia" w:ascii="宋体" w:hAnsi="宋体" w:eastAsia="宋体" w:cs="宋体"/>
                <w:i w:val="0"/>
                <w:iCs w:val="0"/>
                <w:color w:val="000000"/>
                <w:kern w:val="0"/>
                <w:sz w:val="24"/>
                <w:szCs w:val="24"/>
                <w:highlight w:val="none"/>
                <w:u w:val="none"/>
                <w:lang w:val="en-US" w:eastAsia="zh-CN" w:bidi="ar"/>
              </w:rPr>
              <w:t>球管阳极实际热容量≥3.5MHU。</w:t>
            </w:r>
          </w:p>
          <w:p w14:paraId="0FC9246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10.1.6</w:t>
            </w:r>
            <w:r>
              <w:rPr>
                <w:rFonts w:hint="eastAsia" w:ascii="宋体" w:hAnsi="宋体" w:eastAsia="宋体" w:cs="宋体"/>
                <w:i w:val="0"/>
                <w:iCs w:val="0"/>
                <w:color w:val="000000"/>
                <w:kern w:val="0"/>
                <w:sz w:val="24"/>
                <w:szCs w:val="24"/>
                <w:highlight w:val="none"/>
                <w:u w:val="none"/>
                <w:lang w:val="en-US" w:eastAsia="zh-CN" w:bidi="ar"/>
              </w:rPr>
              <w:t>最快扫描时间360°≤0.6s/每圈。</w:t>
            </w:r>
          </w:p>
          <w:p w14:paraId="4AFB748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10.1.7</w:t>
            </w:r>
            <w:r>
              <w:rPr>
                <w:rFonts w:hint="eastAsia" w:ascii="宋体" w:hAnsi="宋体" w:eastAsia="宋体" w:cs="宋体"/>
                <w:i w:val="0"/>
                <w:iCs w:val="0"/>
                <w:color w:val="000000"/>
                <w:kern w:val="0"/>
                <w:sz w:val="24"/>
                <w:szCs w:val="24"/>
                <w:highlight w:val="none"/>
                <w:u w:val="none"/>
                <w:lang w:val="en-US" w:eastAsia="zh-CN" w:bidi="ar"/>
              </w:rPr>
              <w:t>扫描视野（FOV）≥50cm。</w:t>
            </w:r>
          </w:p>
          <w:p w14:paraId="5C33E66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10.1.8</w:t>
            </w:r>
            <w:r>
              <w:rPr>
                <w:rFonts w:hint="eastAsia" w:ascii="宋体" w:hAnsi="宋体" w:eastAsia="宋体" w:cs="宋体"/>
                <w:i w:val="0"/>
                <w:iCs w:val="0"/>
                <w:color w:val="000000"/>
                <w:kern w:val="0"/>
                <w:sz w:val="24"/>
                <w:szCs w:val="24"/>
                <w:highlight w:val="none"/>
                <w:u w:val="none"/>
                <w:lang w:val="en-US" w:eastAsia="zh-CN" w:bidi="ar"/>
              </w:rPr>
              <w:t>扩展FOV≥70cm。</w:t>
            </w:r>
          </w:p>
          <w:p w14:paraId="067F3A1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10.1.9</w:t>
            </w:r>
            <w:r>
              <w:rPr>
                <w:rFonts w:hint="eastAsia" w:ascii="宋体" w:hAnsi="宋体" w:eastAsia="宋体" w:cs="宋体"/>
                <w:i w:val="0"/>
                <w:iCs w:val="0"/>
                <w:color w:val="000000"/>
                <w:kern w:val="0"/>
                <w:sz w:val="24"/>
                <w:szCs w:val="24"/>
                <w:highlight w:val="none"/>
                <w:u w:val="none"/>
                <w:lang w:val="en-US" w:eastAsia="zh-CN" w:bidi="ar"/>
              </w:rPr>
              <w:t>最长扫描距离≥800mm。</w:t>
            </w:r>
          </w:p>
          <w:p w14:paraId="463C3E7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10.1.10</w:t>
            </w:r>
            <w:r>
              <w:rPr>
                <w:rFonts w:hint="eastAsia" w:ascii="宋体" w:hAnsi="宋体" w:eastAsia="宋体" w:cs="宋体"/>
                <w:i w:val="0"/>
                <w:iCs w:val="0"/>
                <w:color w:val="000000"/>
                <w:kern w:val="0"/>
                <w:sz w:val="24"/>
                <w:szCs w:val="24"/>
                <w:highlight w:val="none"/>
                <w:u w:val="none"/>
                <w:lang w:val="en-US" w:eastAsia="zh-CN" w:bidi="ar"/>
              </w:rPr>
              <w:t>具备迭代降噪算法。</w:t>
            </w:r>
          </w:p>
          <w:p w14:paraId="1A6601B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10.2 </w:t>
            </w:r>
            <w:r>
              <w:rPr>
                <w:rFonts w:hint="eastAsia" w:ascii="宋体" w:hAnsi="宋体" w:eastAsia="宋体" w:cs="宋体"/>
                <w:i w:val="0"/>
                <w:iCs w:val="0"/>
                <w:color w:val="000000"/>
                <w:kern w:val="0"/>
                <w:sz w:val="24"/>
                <w:szCs w:val="24"/>
                <w:highlight w:val="none"/>
                <w:u w:val="none"/>
                <w:lang w:val="en-US" w:eastAsia="zh-CN" w:bidi="ar"/>
              </w:rPr>
              <w:t>KV级图像系统软件：具备拍片模式，自动半自动图像匹配病人摆位复核功能。</w:t>
            </w:r>
          </w:p>
          <w:p w14:paraId="7A340AA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10.2.1 </w:t>
            </w:r>
            <w:r>
              <w:rPr>
                <w:rFonts w:hint="eastAsia" w:ascii="宋体" w:hAnsi="宋体" w:eastAsia="宋体" w:cs="宋体"/>
                <w:i w:val="0"/>
                <w:iCs w:val="0"/>
                <w:color w:val="000000"/>
                <w:kern w:val="0"/>
                <w:sz w:val="24"/>
                <w:szCs w:val="24"/>
                <w:highlight w:val="none"/>
                <w:u w:val="none"/>
                <w:lang w:val="en-US" w:eastAsia="zh-CN" w:bidi="ar"/>
              </w:rPr>
              <w:t>图像匹配复核工具：包括叠加图像、窗口分割、运动窗口、彩色叠加。</w:t>
            </w:r>
          </w:p>
          <w:p w14:paraId="72BD4AA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10.2.2</w:t>
            </w:r>
            <w:r>
              <w:rPr>
                <w:rFonts w:hint="eastAsia" w:ascii="宋体" w:hAnsi="宋体" w:eastAsia="宋体" w:cs="宋体"/>
                <w:i w:val="0"/>
                <w:iCs w:val="0"/>
                <w:color w:val="000000"/>
                <w:kern w:val="0"/>
                <w:sz w:val="24"/>
                <w:szCs w:val="24"/>
                <w:highlight w:val="none"/>
                <w:u w:val="none"/>
                <w:lang w:val="en-US" w:eastAsia="zh-CN" w:bidi="ar"/>
              </w:rPr>
              <w:t>具有定位图象和实际摆位图象的比对功能，通过网络系统进行实际的校准和更正治疗床位置的功能。</w:t>
            </w:r>
            <w:r>
              <w:rPr>
                <w:rFonts w:hint="eastAsia" w:ascii="宋体" w:hAnsi="宋体" w:cs="宋体"/>
                <w:i w:val="0"/>
                <w:iCs w:val="0"/>
                <w:color w:val="000000"/>
                <w:kern w:val="0"/>
                <w:sz w:val="24"/>
                <w:szCs w:val="24"/>
                <w:highlight w:val="none"/>
                <w:u w:val="none"/>
                <w:lang w:val="en-US" w:eastAsia="zh-CN" w:bidi="ar"/>
              </w:rPr>
              <w:t xml:space="preserve">10.2.3 </w:t>
            </w:r>
            <w:r>
              <w:rPr>
                <w:rFonts w:hint="eastAsia" w:ascii="宋体" w:hAnsi="宋体" w:eastAsia="宋体" w:cs="宋体"/>
                <w:i w:val="0"/>
                <w:iCs w:val="0"/>
                <w:color w:val="000000"/>
                <w:kern w:val="0"/>
                <w:sz w:val="24"/>
                <w:szCs w:val="24"/>
                <w:highlight w:val="none"/>
                <w:u w:val="none"/>
                <w:lang w:val="en-US" w:eastAsia="zh-CN" w:bidi="ar"/>
              </w:rPr>
              <w:t>IGRT 精度 ≤1mm。</w:t>
            </w:r>
          </w:p>
          <w:p w14:paraId="1ABEC79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10.2.4</w:t>
            </w:r>
            <w:r>
              <w:rPr>
                <w:rFonts w:hint="eastAsia" w:ascii="宋体" w:hAnsi="宋体" w:eastAsia="宋体" w:cs="宋体"/>
                <w:i w:val="0"/>
                <w:iCs w:val="0"/>
                <w:color w:val="000000"/>
                <w:kern w:val="0"/>
                <w:sz w:val="24"/>
                <w:szCs w:val="24"/>
                <w:highlight w:val="none"/>
                <w:u w:val="none"/>
                <w:lang w:val="en-US" w:eastAsia="zh-CN" w:bidi="ar"/>
              </w:rPr>
              <w:t>具备低剂量肺扫描功能。具备肺结节分析。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十一、治疗模式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 xml:space="preserve">11.1 </w:t>
            </w:r>
            <w:r>
              <w:rPr>
                <w:rFonts w:hint="eastAsia" w:ascii="宋体" w:hAnsi="宋体" w:eastAsia="宋体" w:cs="宋体"/>
                <w:i w:val="0"/>
                <w:iCs w:val="0"/>
                <w:color w:val="000000"/>
                <w:kern w:val="0"/>
                <w:sz w:val="24"/>
                <w:szCs w:val="24"/>
                <w:highlight w:val="none"/>
                <w:u w:val="none"/>
                <w:lang w:val="en-US" w:eastAsia="zh-CN" w:bidi="ar"/>
              </w:rPr>
              <w:t>具备dIMRT动态调强放疗功能。</w:t>
            </w:r>
          </w:p>
          <w:p w14:paraId="4B1A0B6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11.2 </w:t>
            </w:r>
            <w:r>
              <w:rPr>
                <w:rFonts w:hint="eastAsia" w:ascii="宋体" w:hAnsi="宋体" w:eastAsia="宋体" w:cs="宋体"/>
                <w:i w:val="0"/>
                <w:iCs w:val="0"/>
                <w:color w:val="000000"/>
                <w:kern w:val="0"/>
                <w:sz w:val="24"/>
                <w:szCs w:val="24"/>
                <w:highlight w:val="none"/>
                <w:u w:val="none"/>
                <w:lang w:val="en-US" w:eastAsia="zh-CN" w:bidi="ar"/>
              </w:rPr>
              <w:t>具备sIMRT静态调强放疗功能。</w:t>
            </w:r>
          </w:p>
          <w:p w14:paraId="2E782C3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11.3 </w:t>
            </w:r>
            <w:r>
              <w:rPr>
                <w:rFonts w:hint="eastAsia" w:ascii="宋体" w:hAnsi="宋体" w:eastAsia="宋体" w:cs="宋体"/>
                <w:i w:val="0"/>
                <w:iCs w:val="0"/>
                <w:color w:val="000000"/>
                <w:kern w:val="0"/>
                <w:sz w:val="24"/>
                <w:szCs w:val="24"/>
                <w:highlight w:val="none"/>
                <w:u w:val="none"/>
                <w:lang w:val="en-US" w:eastAsia="zh-CN" w:bidi="ar"/>
              </w:rPr>
              <w:t>具备3D-CRT三维适形放疗功能。</w:t>
            </w:r>
          </w:p>
          <w:p w14:paraId="19B54CD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11.4</w:t>
            </w:r>
            <w:r>
              <w:rPr>
                <w:rFonts w:hint="eastAsia" w:ascii="宋体" w:hAnsi="宋体" w:eastAsia="宋体" w:cs="宋体"/>
                <w:i w:val="0"/>
                <w:iCs w:val="0"/>
                <w:color w:val="000000"/>
                <w:kern w:val="0"/>
                <w:sz w:val="24"/>
                <w:szCs w:val="24"/>
                <w:highlight w:val="none"/>
                <w:u w:val="none"/>
                <w:lang w:val="en-US" w:eastAsia="zh-CN" w:bidi="ar"/>
              </w:rPr>
              <w:t>固定野旋转放疗：具备固定野旋转放疗功能。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十二、治疗计划系统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12.1 放射治疗计划系统（TPS）工作站数量要求：原厂物理师工作站：≥1台；医生勾画工作站：≥2台。</w:t>
            </w:r>
          </w:p>
          <w:p w14:paraId="3745954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12.2 硬件平台 ：</w:t>
            </w:r>
          </w:p>
          <w:p w14:paraId="2B5142D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12.2.1 物理师工作站硬件要求 。</w:t>
            </w:r>
          </w:p>
          <w:p w14:paraId="46899F9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12.2.2 中央处理器主频≥3GHz。</w:t>
            </w:r>
          </w:p>
          <w:p w14:paraId="38C93D1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12.2.3 随机存取存储器内存≥16GB。</w:t>
            </w:r>
          </w:p>
          <w:p w14:paraId="07F85A9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12.2.4 磁盘存储器容量≥512 GB。</w:t>
            </w:r>
          </w:p>
          <w:p w14:paraId="3768A38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12.2.5 显示卡≥4G 显存。</w:t>
            </w:r>
          </w:p>
          <w:p w14:paraId="560B081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12.2.6 终端显示器≥23 英寸，分辨率≥1920×1080 ，带键盘和鼠标。</w:t>
            </w:r>
          </w:p>
          <w:p w14:paraId="4802227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12.2.7 操作系统： Windows 10 企业版(64 位)。</w:t>
            </w:r>
          </w:p>
          <w:p w14:paraId="7EAE2A5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12.3 医生工作站硬件要求：</w:t>
            </w:r>
          </w:p>
          <w:p w14:paraId="30E73FB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12.3.1 中央处理器主频≥3GHz。</w:t>
            </w:r>
          </w:p>
          <w:p w14:paraId="4BDCF3C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12.3.2 随机存取存储器内存≥16GB。</w:t>
            </w:r>
          </w:p>
          <w:p w14:paraId="1AD72F9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12.3.3 磁盘存储器容量≥512 GB。</w:t>
            </w:r>
          </w:p>
          <w:p w14:paraId="0008A9B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12.3.4 显示卡≥4G 显存。</w:t>
            </w:r>
          </w:p>
          <w:p w14:paraId="18EE87B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12.3.5 终端显示器≥23 英寸，分辨率≥1920×1080 ，带键盘和鼠标。</w:t>
            </w:r>
          </w:p>
          <w:p w14:paraId="5883081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12.3.6 操作系统：Windows 10 企业版(64 位)。</w:t>
            </w:r>
          </w:p>
          <w:p w14:paraId="0CC663C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12.4 计算服务器：</w:t>
            </w:r>
          </w:p>
          <w:p w14:paraId="2AFE24F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12.4.1 中央处理器主频≥3.90 GHz。</w:t>
            </w:r>
          </w:p>
          <w:p w14:paraId="0326398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12.4.2 随机存取存储器内存≥64GB。</w:t>
            </w:r>
          </w:p>
          <w:p w14:paraId="626EC22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12.4.3 磁盘存储器容量≥1T。</w:t>
            </w:r>
          </w:p>
          <w:p w14:paraId="77D0228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12.4.4 显示卡≥16G显存。</w:t>
            </w:r>
          </w:p>
          <w:p w14:paraId="2B2E7D4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12.5 软件基本环境</w:t>
            </w:r>
          </w:p>
          <w:p w14:paraId="1C5E62D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12.5.1 系统架构：系统应基于“浏览器～服务器”模式。12.5.2 临床与管理数据库： 数据库应是关系型数据库管理系统，应建立在符合ANSII 规定标准的SQL 语言上。</w:t>
            </w:r>
          </w:p>
          <w:p w14:paraId="7E3F84C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12.5.3 数据传输协议：支持HL-7接口协议。</w:t>
            </w:r>
          </w:p>
          <w:p w14:paraId="3C3979F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12.5.4 系统界面：全中文系统界面。</w:t>
            </w:r>
          </w:p>
          <w:p w14:paraId="5123331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12.6应用要求：TPS系统应在通用用户界面中提供如下功能和应用，用户不必再向其它应用软件或平台导入/导出数据。</w:t>
            </w:r>
          </w:p>
          <w:p w14:paraId="1919133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12.7具备脚本功能：</w:t>
            </w:r>
          </w:p>
          <w:p w14:paraId="20B68EE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12.7.1 支持操作的录制。</w:t>
            </w:r>
          </w:p>
          <w:p w14:paraId="5A7F79F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12.7.2 支持保存录制的操作。</w:t>
            </w:r>
          </w:p>
          <w:p w14:paraId="73CE856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12.7.3支持调用系统自带的脚本和用户自定义脚本。12.8剂量计算：可支持多GPU 并行加速架构。</w:t>
            </w:r>
          </w:p>
          <w:p w14:paraId="7AE8A55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12.9剂量算法：具备三维卷积剂量计算引擎。</w:t>
            </w:r>
          </w:p>
          <w:p w14:paraId="66EE60E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12.10勾画功能：具备多种手动勾画工具。</w:t>
            </w:r>
          </w:p>
          <w:p w14:paraId="7CD9829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12.10.1 具备感兴趣区域密度重置。</w:t>
            </w:r>
          </w:p>
          <w:p w14:paraId="2AC7728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12.10.2 基于Dose生成轮廓。</w:t>
            </w:r>
          </w:p>
          <w:p w14:paraId="6054D57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12.10.3 基于HU值生成轮廓。</w:t>
            </w:r>
          </w:p>
          <w:p w14:paraId="0669F70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12.10.4 支持横断面，冠状面，矢状面，BEV和3D窗口显示患者勾画。</w:t>
            </w:r>
          </w:p>
          <w:p w14:paraId="5F9F257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12.10.5 可基于融合图像进行勾画。</w:t>
            </w:r>
          </w:p>
          <w:p w14:paraId="082944D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12.10.6 支持勾画轮廓的剪切复制粘贴。</w:t>
            </w:r>
          </w:p>
          <w:p w14:paraId="237619D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12.10.7 支持定位选定的感兴趣区域。</w:t>
            </w:r>
          </w:p>
          <w:p w14:paraId="25AE187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12.10.8 支持对感兴趣区域的2D/3D的移动。</w:t>
            </w:r>
          </w:p>
          <w:p w14:paraId="1C587BE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12.10.9 对选定的勾画进行6个方向上的外扩或者内缩，并能进行镜像翻转，合并等逻辑运算操作。</w:t>
            </w:r>
          </w:p>
          <w:p w14:paraId="13F2B36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12.10.10 支持多模态图像融合。</w:t>
            </w:r>
          </w:p>
          <w:p w14:paraId="0120D79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12.11显示功能：支持以伪彩显示图像序列：</w:t>
            </w:r>
          </w:p>
          <w:p w14:paraId="75B0AFE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12.11.1手动调节图像配准关系。</w:t>
            </w:r>
          </w:p>
          <w:p w14:paraId="2C8E98B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12.11.2 支持基于ROI进行图像配准。</w:t>
            </w:r>
          </w:p>
          <w:p w14:paraId="3C3E98F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12.11.3 可视化观察匹配结果。</w:t>
            </w:r>
          </w:p>
          <w:p w14:paraId="6A6C66E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12.11.4 DICOM导入导出：CT，MRI，PET，CR，RT Image DICOM标准图像导入；将结构集，计划，剂量文件导出为DICOM文件。</w:t>
            </w:r>
          </w:p>
          <w:p w14:paraId="5760ACA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12.11.5 DICOM RT接口：支持RT Plan，RT Dose，RT Structure，RT Record格式的数据导入。</w:t>
            </w:r>
          </w:p>
          <w:p w14:paraId="32BE1FF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12.12 剂量计算与优化：自定义计算网格的范围和大小。12.13 GPU加速：支持双GPU并行加速。</w:t>
            </w:r>
          </w:p>
          <w:p w14:paraId="74D043E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12.14 二维计划：支持创建简单二维计划。</w:t>
            </w:r>
          </w:p>
          <w:p w14:paraId="3673B82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12.15 提供计划制作与评估。</w:t>
            </w:r>
          </w:p>
          <w:p w14:paraId="57E1C5B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12.15.1 在一个计划下支持多个不同的照射类型，射野能量和射野技术。</w:t>
            </w:r>
          </w:p>
          <w:p w14:paraId="4F2B251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12.15.2 支持添加光子线计划。</w:t>
            </w:r>
          </w:p>
          <w:p w14:paraId="686768E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12.15.3 支持非共面计划设计。</w:t>
            </w:r>
          </w:p>
          <w:p w14:paraId="4B13533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12.15.4 支持逆向调强计划设计。</w:t>
            </w:r>
          </w:p>
          <w:p w14:paraId="0DBA16D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12.15.5 支持设置射野的机架角度，钨门，治疗床，准直器参数。</w:t>
            </w:r>
          </w:p>
          <w:p w14:paraId="50EAF9D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12.15.6 支持自动对穿野的生成。</w:t>
            </w:r>
          </w:p>
          <w:p w14:paraId="0D03D12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12.15.7 支持计划剂量的叠加显示。</w:t>
            </w:r>
          </w:p>
          <w:p w14:paraId="0AC0E53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12.15.8 支持计划模拟执行。</w:t>
            </w:r>
          </w:p>
          <w:p w14:paraId="02C5C98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12.15.9支持显示感兴趣区域和感兴趣点的统计信息。12.16 具备计划验证：</w:t>
            </w:r>
          </w:p>
          <w:p w14:paraId="435AC61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12.16.1 支持导入、保存并加载算中的模体图像序列。12.16.2 支持将当前患者的计划数据拷贝到模体中创建验证计划。</w:t>
            </w:r>
          </w:p>
          <w:p w14:paraId="1A7F48F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12.16.3 支持输出验证计划的剂量分布。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十三、具备放疗专用网络系统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13.1加速器网络：符合国家信息安全管理要求。13.1.1 远程维修联网服务器：服务器必须位于中国。13.1.2 联网功能要求：通过网络，可将下列设备联网：加速器；治疗计划系统；网络工作站。</w:t>
            </w:r>
          </w:p>
          <w:p w14:paraId="7DFAEC5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13.1.3 网络适配卡 100M/1000M自适应PCI32-bit网卡。</w:t>
            </w:r>
          </w:p>
          <w:p w14:paraId="7F11A70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13.2 提供软件系统。 </w:t>
            </w:r>
          </w:p>
          <w:p w14:paraId="02A86C7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13.2.1 放疗数据库应用软件：该应用软件是建立和运行于上述服务器数据库系统平台上的应用软件和用户界面程序。所有的病人数据，包括文本资料、图像信息和治疗计划数据，以及治疗过程中产生的图像和文本数据信息，均应集中存储在服务器数据库中，方便管理、备份和所有联网工作站的信息资源共享。</w:t>
            </w:r>
          </w:p>
          <w:p w14:paraId="25CD498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13.2.2 用户级别限制服务器软件能设置各工作站用户的使用权限。</w:t>
            </w:r>
          </w:p>
          <w:p w14:paraId="533D2E8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13.2.3 一体化数据库和患者管理：患者数据和治疗数据存储在一个数据库中。</w:t>
            </w:r>
          </w:p>
          <w:p w14:paraId="21BD8D7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13.3 网络应用软件基本功能要求：提供。</w:t>
            </w:r>
          </w:p>
          <w:p w14:paraId="2A921D3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13.3.1 患者列表：创建、管理患者名单，患者状态处理，预览患者的流程状态。</w:t>
            </w:r>
          </w:p>
          <w:p w14:paraId="3E69009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13.3.2 治疗排程：可以进行患者治疗日程的排列，设置治疗排程的间隔，治疗起始日期，对未进行治疗的超时排程，系统可以自动推迟。</w:t>
            </w:r>
          </w:p>
          <w:p w14:paraId="4058BFC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13.3.3 治疗疗程：可以对患者治疗日的治疗时间和疗程进行设定和修改，并显示加速器空余时间。</w:t>
            </w:r>
          </w:p>
          <w:p w14:paraId="2C69B26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13.3.4 治疗参数确认：显示患者治疗射野的详细参数，并进行确认。</w:t>
            </w:r>
          </w:p>
          <w:p w14:paraId="1D49474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13.3.5 患者摆位确认：显示患者治疗的摆位要求，便于技师进行确认。</w:t>
            </w:r>
          </w:p>
          <w:p w14:paraId="30C0505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13.3.6 患者定位模具管理：可以对放疗定位、摆位附件进行编号和打印标签，并在治疗室内通过系统进行扫描确认，避免使用错误的附件。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十四、配件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14.1配套固定式激光灯：固定式激光灯≥3只.</w:t>
            </w:r>
          </w:p>
          <w:p w14:paraId="1A4E53F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14.2稳压电源：具备。</w:t>
            </w:r>
          </w:p>
          <w:p w14:paraId="55175C1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14.3不间断电源UPS：具备。</w:t>
            </w:r>
          </w:p>
          <w:p w14:paraId="44395F8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14.4外水冷机：具备。</w:t>
            </w:r>
          </w:p>
          <w:p w14:paraId="342F637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14.5闭路电视监控系统：具备。</w:t>
            </w:r>
          </w:p>
          <w:p w14:paraId="2AF7AE4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14.6具备质控模体。</w:t>
            </w:r>
          </w:p>
          <w:p w14:paraId="2BA268B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14.7机械前指针：具备。</w:t>
            </w:r>
          </w:p>
          <w:p w14:paraId="66B11BE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14.8 具备NAS备份存储。</w:t>
            </w:r>
          </w:p>
          <w:p w14:paraId="24B56C0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14.9 控制台桌椅。</w:t>
            </w:r>
          </w:p>
          <w:p w14:paraId="0B8BAC3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14.10保养工具包：具备。</w:t>
            </w:r>
          </w:p>
          <w:p w14:paraId="086E655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14.11 乳腺托架2套。头模，头颈肩模，体模各20张。</w:t>
            </w:r>
          </w:p>
          <w:p w14:paraId="74DE784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14.12智能勾画：具备。</w:t>
            </w:r>
          </w:p>
          <w:p w14:paraId="6353B28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14.13恒温水箱一台。</w:t>
            </w:r>
          </w:p>
          <w:p w14:paraId="4D5F01A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*提供所投产品《医疗器械备案凭证》或者《医疗器械注册证》</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2CC29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269" w:type="pct"/>
            <w:tcBorders>
              <w:top w:val="single" w:color="000000" w:sz="4" w:space="0"/>
              <w:left w:val="single" w:color="000000" w:sz="4" w:space="0"/>
              <w:bottom w:val="single" w:color="000000" w:sz="4" w:space="0"/>
              <w:right w:val="single" w:color="000000" w:sz="4" w:space="0"/>
            </w:tcBorders>
            <w:noWrap w:val="0"/>
            <w:vAlign w:val="center"/>
          </w:tcPr>
          <w:p w14:paraId="2B20B6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bl>
    <w:p w14:paraId="1F6AF2E7">
      <w:pPr>
        <w:rPr>
          <w:rFonts w:hint="eastAsia" w:ascii="宋体" w:hAnsi="宋体" w:eastAsia="宋体" w:cs="宋体"/>
          <w:sz w:val="24"/>
          <w:szCs w:val="24"/>
          <w:highlight w:val="none"/>
        </w:rPr>
      </w:pPr>
    </w:p>
    <w:p w14:paraId="0D90DA4F">
      <w:pPr>
        <w:rPr>
          <w:rFonts w:hint="eastAsia"/>
          <w:b/>
          <w:bCs/>
          <w:sz w:val="32"/>
          <w:szCs w:val="40"/>
          <w:highlight w:val="none"/>
        </w:rPr>
      </w:pPr>
      <w:r>
        <w:rPr>
          <w:rFonts w:hint="eastAsia"/>
          <w:b/>
          <w:bCs/>
          <w:sz w:val="32"/>
          <w:szCs w:val="40"/>
          <w:highlight w:val="none"/>
        </w:rPr>
        <w:br w:type="page"/>
      </w:r>
    </w:p>
    <w:p w14:paraId="38F6A293">
      <w:pPr>
        <w:rPr>
          <w:rFonts w:hint="eastAsia"/>
          <w:b/>
          <w:bCs/>
          <w:sz w:val="32"/>
          <w:szCs w:val="40"/>
          <w:highlight w:val="none"/>
        </w:rPr>
      </w:pPr>
    </w:p>
    <w:p w14:paraId="530AAB52">
      <w:pPr>
        <w:jc w:val="center"/>
        <w:rPr>
          <w:rFonts w:hint="eastAsia"/>
          <w:highlight w:val="none"/>
          <w:lang w:val="en-US" w:eastAsia="zh-CN"/>
        </w:rPr>
      </w:pPr>
      <w:r>
        <w:rPr>
          <w:rFonts w:hint="eastAsia"/>
          <w:b/>
          <w:bCs/>
          <w:sz w:val="24"/>
          <w:szCs w:val="24"/>
          <w:highlight w:val="none"/>
          <w:lang w:val="en-US" w:eastAsia="zh-CN"/>
        </w:rPr>
        <w:t>第五标段</w:t>
      </w:r>
    </w:p>
    <w:tbl>
      <w:tblPr>
        <w:tblStyle w:val="2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1"/>
        <w:gridCol w:w="1398"/>
        <w:gridCol w:w="6850"/>
        <w:gridCol w:w="483"/>
        <w:gridCol w:w="568"/>
      </w:tblGrid>
      <w:tr w14:paraId="36B4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2BA4E86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6029524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名称</w:t>
            </w: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1020F84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技术</w:t>
            </w:r>
            <w:r>
              <w:rPr>
                <w:rFonts w:hint="eastAsia" w:ascii="宋体" w:hAnsi="宋体" w:eastAsia="宋体" w:cs="宋体"/>
                <w:b/>
                <w:bCs/>
                <w:i w:val="0"/>
                <w:iCs w:val="0"/>
                <w:color w:val="000000"/>
                <w:kern w:val="0"/>
                <w:sz w:val="24"/>
                <w:szCs w:val="24"/>
                <w:highlight w:val="none"/>
                <w:u w:val="none"/>
                <w:lang w:val="en-US" w:eastAsia="zh-CN" w:bidi="ar"/>
              </w:rPr>
              <w:t>参数</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1311C7E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56B15F9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sz w:val="24"/>
                <w:szCs w:val="24"/>
                <w:highlight w:val="none"/>
                <w:u w:val="none"/>
                <w:lang w:val="en-US" w:eastAsia="zh-CN"/>
              </w:rPr>
              <w:t>数量</w:t>
            </w:r>
          </w:p>
        </w:tc>
      </w:tr>
      <w:tr w14:paraId="5670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ign w:val="center"/>
          </w:tcPr>
          <w:p w14:paraId="7DDCE5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09" w:type="pct"/>
            <w:vMerge w:val="restart"/>
            <w:tcBorders>
              <w:top w:val="single" w:color="000000" w:sz="4" w:space="0"/>
              <w:left w:val="single" w:color="000000" w:sz="4" w:space="0"/>
              <w:bottom w:val="single" w:color="000000" w:sz="4" w:space="0"/>
              <w:right w:val="single" w:color="000000" w:sz="4" w:space="0"/>
            </w:tcBorders>
            <w:noWrap w:val="0"/>
            <w:vAlign w:val="center"/>
          </w:tcPr>
          <w:p w14:paraId="526BF1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医影中心</w:t>
            </w:r>
          </w:p>
        </w:tc>
        <w:tc>
          <w:tcPr>
            <w:tcW w:w="3475" w:type="pct"/>
            <w:vMerge w:val="restart"/>
            <w:tcBorders>
              <w:top w:val="single" w:color="000000" w:sz="4" w:space="0"/>
              <w:left w:val="single" w:color="000000" w:sz="4" w:space="0"/>
              <w:bottom w:val="single" w:color="000000" w:sz="4" w:space="0"/>
              <w:right w:val="single" w:color="000000" w:sz="4" w:space="0"/>
            </w:tcBorders>
            <w:noWrap w:val="0"/>
            <w:vAlign w:val="top"/>
          </w:tcPr>
          <w:p w14:paraId="298AD3B4">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一、标准医学影像阅片工作台（16套）</w:t>
            </w:r>
          </w:p>
          <w:p w14:paraId="072F231B">
            <w:pP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1.1、功能特点：一体化设计的影像阅片工作终端，减少对竖屏的眩光干扰，优化工作环境，依据人体工程学设计。</w:t>
            </w:r>
          </w:p>
          <w:p w14:paraId="0CBFB768">
            <w:pP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1.2、灯光系统：独立式可调节背景灯以及书写灯，LED光源，有效对医生阅片眼睛的防护。</w:t>
            </w:r>
          </w:p>
          <w:p w14:paraId="38E21BAF">
            <w:pP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1.3、内置电源分配：</w:t>
            </w:r>
            <w:r>
              <w:rPr>
                <w:rFonts w:hint="eastAsia" w:ascii="宋体" w:hAnsi="宋体" w:eastAsia="宋体" w:cs="宋体"/>
                <w:color w:val="000000"/>
                <w:sz w:val="24"/>
                <w:szCs w:val="24"/>
                <w:highlight w:val="none"/>
              </w:rPr>
              <w:t>阅片桌预留接口给所有的设备供电，无需借助额外的插线板</w:t>
            </w:r>
          </w:p>
          <w:p w14:paraId="2B62188F">
            <w:pP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1.4、理线结构：隐藏式理线结构，专业理线槽，整洁安全。</w:t>
            </w:r>
          </w:p>
          <w:p w14:paraId="3A26E326">
            <w:pP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1.5、主机安装：悬挂式主机安装架构，可自适应不同尺寸的主机箱尺寸，可集成两台主机，实现多配置应用。</w:t>
            </w:r>
          </w:p>
          <w:p w14:paraId="56044FE2">
            <w:pP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1.6、尺寸：1.5×0.75m</w:t>
            </w:r>
          </w:p>
          <w:p w14:paraId="55F07FB8">
            <w:pP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1.7、桌面材质：采用高强度抑菌理化板，具有防火防潮、易清洁不粘附灰尘、耐磨耐冲击性</w:t>
            </w:r>
          </w:p>
          <w:p w14:paraId="4663B35B">
            <w:pP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1.8、平台高度调节：</w:t>
            </w:r>
            <w:r>
              <w:rPr>
                <w:rFonts w:hint="eastAsia" w:ascii="宋体" w:hAnsi="宋体" w:eastAsia="宋体" w:cs="宋体"/>
                <w:color w:val="000000"/>
                <w:sz w:val="24"/>
                <w:szCs w:val="24"/>
                <w:highlight w:val="none"/>
              </w:rPr>
              <w:t>支持预设高度功能，可预设高度≥4个</w:t>
            </w:r>
          </w:p>
          <w:p w14:paraId="6F6075AD">
            <w:pP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1.9、阅片座椅：符合人体工程学设计要求，颈部、背部贴合支撑，椅面高度可调节，扶手高度可调节，椅背倾斜度可调节，头枕可上下调节，具备午休功能。</w:t>
            </w:r>
          </w:p>
          <w:p w14:paraId="5F12C011">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471A279A">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二、显示器支臂（16套）</w:t>
            </w:r>
          </w:p>
          <w:p w14:paraId="631AE61B">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材质</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金属、材料采用航空合金</w:t>
            </w:r>
          </w:p>
          <w:p w14:paraId="5078B9FE">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调节角度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三关节支臂可实现自由定位，全向可调，+75°~-45°可调俯仰角</w:t>
            </w:r>
          </w:p>
          <w:p w14:paraId="2C853B7C">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承重</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支臂具有液压杆，承重≥20kg</w:t>
            </w:r>
          </w:p>
          <w:p w14:paraId="15040948">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2FE58E2F">
            <w:pPr>
              <w:pStyle w:val="3"/>
              <w:bidi w:val="0"/>
              <w:ind w:left="0" w:leftChars="0" w:firstLine="0" w:firstLineChars="0"/>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三</w:t>
            </w:r>
            <w:r>
              <w:rPr>
                <w:rFonts w:hint="eastAsia" w:ascii="宋体" w:hAnsi="宋体" w:eastAsia="宋体" w:cs="宋体"/>
                <w:b/>
                <w:bCs/>
                <w:sz w:val="24"/>
                <w:szCs w:val="24"/>
                <w:highlight w:val="none"/>
                <w:lang w:val="en-US" w:eastAsia="zh-CN"/>
              </w:rPr>
              <w:t>、98寸医学影像会诊显示中心系统（1套）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3.1、98寸医学影像会诊显示中心</w:t>
            </w:r>
            <w:r>
              <w:rPr>
                <w:rFonts w:hint="eastAsia" w:ascii="宋体" w:hAnsi="宋体" w:eastAsia="宋体" w:cs="宋体"/>
                <w:sz w:val="24"/>
                <w:szCs w:val="24"/>
                <w:highlight w:val="none"/>
                <w:lang w:val="en-US" w:eastAsia="zh-CN"/>
              </w:rPr>
              <w:t>（1套）</w:t>
            </w:r>
          </w:p>
          <w:p w14:paraId="2B1A9222">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3.1.1、</w:t>
            </w:r>
            <w:r>
              <w:rPr>
                <w:rFonts w:hint="eastAsia" w:ascii="宋体" w:hAnsi="宋体" w:eastAsia="宋体" w:cs="宋体"/>
                <w:sz w:val="24"/>
                <w:szCs w:val="24"/>
                <w:highlight w:val="none"/>
              </w:rPr>
              <w:t>自动校准亮度曲线</w:t>
            </w:r>
            <w:r>
              <w:rPr>
                <w:rFonts w:hint="eastAsia" w:ascii="宋体" w:hAnsi="宋体" w:eastAsia="宋体" w:cs="宋体"/>
                <w:sz w:val="24"/>
                <w:szCs w:val="24"/>
                <w:highlight w:val="none"/>
              </w:rPr>
              <w:tab/>
            </w:r>
            <w:r>
              <w:rPr>
                <w:rFonts w:hint="eastAsia" w:ascii="宋体" w:hAnsi="宋体" w:eastAsia="宋体" w:cs="宋体"/>
                <w:sz w:val="24"/>
                <w:szCs w:val="24"/>
                <w:highlight w:val="none"/>
              </w:rPr>
              <w:t>显示器可以自动校准亮度曲线</w:t>
            </w:r>
          </w:p>
          <w:p w14:paraId="48FA9F02">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3.1.2、</w:t>
            </w:r>
            <w:r>
              <w:rPr>
                <w:rFonts w:hint="eastAsia" w:ascii="宋体" w:hAnsi="宋体" w:eastAsia="宋体" w:cs="宋体"/>
                <w:sz w:val="24"/>
                <w:szCs w:val="24"/>
                <w:highlight w:val="none"/>
              </w:rPr>
              <w:t>基本参数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分辨率≧3840×2160，尺寸≧98英寸，点距≦0.5622mm×0.5622mm，最大亮度≧500cd/m²，对比度≧1300：1，响应时间（Ton+Toff）≦8ms，可视角度≥178°，并提供产品彩页</w:t>
            </w:r>
          </w:p>
          <w:p w14:paraId="4DD182DC">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3.1.3、</w:t>
            </w:r>
            <w:r>
              <w:rPr>
                <w:rFonts w:hint="eastAsia" w:ascii="宋体" w:hAnsi="宋体" w:eastAsia="宋体" w:cs="宋体"/>
                <w:sz w:val="24"/>
                <w:szCs w:val="24"/>
                <w:highlight w:val="none"/>
              </w:rPr>
              <w:t>动态校正</w:t>
            </w:r>
            <w:r>
              <w:rPr>
                <w:rFonts w:hint="eastAsia" w:ascii="宋体" w:hAnsi="宋体" w:eastAsia="宋体" w:cs="宋体"/>
                <w:sz w:val="24"/>
                <w:szCs w:val="24"/>
                <w:highlight w:val="none"/>
              </w:rPr>
              <w:tab/>
            </w:r>
            <w:r>
              <w:rPr>
                <w:rFonts w:hint="eastAsia" w:ascii="宋体" w:hAnsi="宋体" w:eastAsia="宋体" w:cs="宋体"/>
                <w:sz w:val="24"/>
                <w:szCs w:val="24"/>
                <w:highlight w:val="none"/>
              </w:rPr>
              <w:t>显示器LUT表可以动态生成，内置DICOM曲线可以在150-450cd/m2固定亮度下动态调节,另外还内置GAMMA 、DICOM校正曲线</w:t>
            </w:r>
          </w:p>
          <w:p w14:paraId="6CA8068B">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彩色灰阶自适应校正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显示器可以对医学彩色和灰阶图像自动校准，保证显示器在同时显示彩色图像和灰阶图像的时候，可以分别对彩色图像调用GAMMA曲线校正，灰阶图像调用DICOM曲线校正</w:t>
            </w:r>
          </w:p>
          <w:p w14:paraId="232F89A9">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亮度均匀性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显示器具有亮度均匀性调节功能，确保全屏幕亮度均衡</w:t>
            </w:r>
          </w:p>
          <w:p w14:paraId="3A3BB0BE">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色彩</w:t>
            </w:r>
            <w:r>
              <w:rPr>
                <w:rFonts w:hint="eastAsia" w:ascii="宋体" w:hAnsi="宋体" w:eastAsia="宋体" w:cs="宋体"/>
                <w:sz w:val="24"/>
                <w:szCs w:val="24"/>
                <w:highlight w:val="none"/>
              </w:rPr>
              <w:tab/>
            </w:r>
            <w:r>
              <w:rPr>
                <w:rFonts w:hint="eastAsia" w:ascii="宋体" w:hAnsi="宋体" w:eastAsia="宋体" w:cs="宋体"/>
                <w:sz w:val="24"/>
                <w:szCs w:val="24"/>
                <w:highlight w:val="none"/>
              </w:rPr>
              <w:t>色彩度≧281.47Trillion Colors(16bit)，提供产品彩页</w:t>
            </w:r>
          </w:p>
          <w:p w14:paraId="5A8C1D3D">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视频端口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输入端口支持DP、HDMI；输出端口支持DP或HDMI</w:t>
            </w:r>
          </w:p>
          <w:p w14:paraId="74F611C1">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画面输出：可以将显示器屏幕画面输出到远端的其他显示器上，与其它显示器同步显示</w:t>
            </w:r>
          </w:p>
          <w:p w14:paraId="111D4349">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触摸操作：红外触摸，使用手套、手指、笔或其他棒状物品，最大支持10点触摸，触摸反应速度≤50ms。</w:t>
            </w:r>
          </w:p>
          <w:p w14:paraId="17F655C8">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激光笔功能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显示器具有基于串口的标注图形跟随显示的功能，可打开模拟激光笔功能，指示讲解内容</w:t>
            </w:r>
          </w:p>
          <w:p w14:paraId="42C99BE6">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聚光灯功能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显示器可以突出显示病灶区域，通过显示器触控按键快速打开聚光灯，形状可切换成圆形或矩形</w:t>
            </w:r>
          </w:p>
          <w:p w14:paraId="4C5D2139">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环境光自适应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显示器可根据环境光自适应调整亮度，可以侦测使用环境的环境光数据，进一步调节显示器的显示效果，更符合人眼观察能力，展现图像，应用于各种亮度环境下</w:t>
            </w:r>
          </w:p>
          <w:p w14:paraId="55225293">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13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遥控功能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具有遥控功能，可进行开关机，一键开启聚光灯，视频模式切换，信号切换，音频开关，音量调节等</w:t>
            </w:r>
          </w:p>
          <w:p w14:paraId="091ABC5C">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14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支持OPS系统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支持双OPS主机，支持遥控切换显示系统</w:t>
            </w:r>
          </w:p>
          <w:p w14:paraId="4124DFAB">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15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触摸通道自动切换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显示器接不同主机时，可根据当前显示信号源自动将触摸屏切换到当前信号源对应的主机上</w:t>
            </w:r>
          </w:p>
          <w:p w14:paraId="6D9F7954">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多重视窗模式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支持双画面、三画面、四画面显示</w:t>
            </w:r>
          </w:p>
          <w:p w14:paraId="4A76B51B">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17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比例模式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支持显示比例模式切换：全屏、4:3、5:4、16:9、1:1、最小比例、最大比例</w:t>
            </w:r>
          </w:p>
          <w:p w14:paraId="0511D5C4">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18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节能模式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无信号时，显示器提示 5 分钟后自动进入省电模式；接通电源，未开机时，功耗小于 0.5W</w:t>
            </w:r>
          </w:p>
          <w:p w14:paraId="75A36C49">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19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信息监测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可以监测各个视窗的显示状态，会诊屏的风扇工作健康状态，以及背光板的工作时间</w:t>
            </w:r>
          </w:p>
          <w:p w14:paraId="12D0EC9A">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eastAsia="zh-CN"/>
              </w:rPr>
              <w:t>、</w:t>
            </w:r>
            <w:r>
              <w:rPr>
                <w:rFonts w:hint="eastAsia" w:ascii="宋体" w:hAnsi="宋体" w:eastAsia="宋体" w:cs="宋体"/>
                <w:b w:val="0"/>
                <w:bCs w:val="0"/>
                <w:i w:val="0"/>
                <w:iCs w:val="0"/>
                <w:color w:val="000000"/>
                <w:kern w:val="0"/>
                <w:sz w:val="24"/>
                <w:szCs w:val="24"/>
                <w:highlight w:val="none"/>
                <w:u w:val="none"/>
                <w:lang w:val="en-US" w:eastAsia="zh-CN" w:bidi="ar"/>
              </w:rPr>
              <w:t>CCC产品认证：获得CCC强制认证，并且证书上委托人、生产者和生产企业名称须完全一致。</w:t>
            </w:r>
          </w:p>
          <w:p w14:paraId="02E71421">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3.1.21、节能产品认证：产品获得中国节能产品认证，并且证书上委托人、生产者和生产企业名称须完全一致。 </w:t>
            </w:r>
          </w:p>
          <w:p w14:paraId="68775A34">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p>
          <w:p w14:paraId="4B6DAFDE">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3.2、影像切换系统（1套）</w:t>
            </w:r>
          </w:p>
          <w:p w14:paraId="79045F3D">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3.2.1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视频输入接口</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基于C/S架构，中心数据库采用关系数据库，提供专用客户端，非网页浏览方式</w:t>
            </w:r>
          </w:p>
          <w:p w14:paraId="725FDF63">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3.2.</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输出接口</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客户端至少支持Win、Android平台，并支持在手持设备、PAD、PC端的应用界面</w:t>
            </w:r>
          </w:p>
          <w:p w14:paraId="653C6BB6">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3.2.</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自适应处理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基于Pyxos总线，实现通信链路供电、双绞线无极性连接、高速可确定性通信、支持总线式和自由拓扑两种组网方式</w:t>
            </w:r>
          </w:p>
          <w:p w14:paraId="5DC88156">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3.2.</w:t>
            </w: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控制方式</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可通过专用的软件实现远程的控制，控制画面布局</w:t>
            </w:r>
          </w:p>
          <w:p w14:paraId="1B0123C8">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3.2.</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EDID管理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支持输入接口EDID的读取、修改、自定义</w:t>
            </w:r>
          </w:p>
          <w:p w14:paraId="3AD44483">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3.2.</w:t>
            </w: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图像增强功能</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具备专业的图像增强功能，确保医学影像在系统的互动过程中不损失图像质量，最终显示的时候能够达到很好的诊断效果</w:t>
            </w:r>
          </w:p>
          <w:p w14:paraId="2671454C">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4C067D03">
            <w:pPr>
              <w:pStyle w:val="3"/>
              <w:bidi w:val="0"/>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四、医用显示器（16套）</w:t>
            </w:r>
          </w:p>
          <w:p w14:paraId="12D114CD">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w:t>
            </w:r>
            <w:r>
              <w:rPr>
                <w:rFonts w:hint="eastAsia" w:ascii="宋体" w:hAnsi="宋体" w:eastAsia="宋体" w:cs="宋体"/>
                <w:b/>
                <w:bCs/>
                <w:i w:val="0"/>
                <w:iCs w:val="0"/>
                <w:color w:val="000000"/>
                <w:kern w:val="0"/>
                <w:sz w:val="24"/>
                <w:szCs w:val="24"/>
                <w:highlight w:val="none"/>
                <w:u w:val="none"/>
                <w:lang w:val="en-US" w:eastAsia="zh-CN" w:bidi="ar"/>
              </w:rPr>
              <w:t>6兆一体化双屏显示器（14套）</w:t>
            </w:r>
          </w:p>
          <w:p w14:paraId="40574BCD">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自动校准亮度曲线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显示器可以自动校准亮度曲线</w:t>
            </w:r>
          </w:p>
          <w:p w14:paraId="756C7ABA">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基本参数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≧30英寸，分辨率≧3280×2048，点距≦0.197×0.197mm，亮度≧1300cd/m²，对比度≧2000：1 ，响应时间（Ton+Toff）≦28ms（Ton≤13ms，Toff≤15ms），可视角度≥178°（CR≥10），并提供彩页</w:t>
            </w:r>
          </w:p>
          <w:p w14:paraId="5D56281F">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动态校正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显示器LUT表可以动态生成，DICOM曲线可以在200-500cd/m2固定亮度下动态调节</w:t>
            </w:r>
          </w:p>
          <w:p w14:paraId="41CB8A17">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亮度均匀性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显示器具有亮度均匀性调节功能，确保全屏幕亮度均衡</w:t>
            </w:r>
          </w:p>
          <w:p w14:paraId="0E5FA282">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色彩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色彩度≧4.398Trillion(42bit)</w:t>
            </w:r>
          </w:p>
          <w:p w14:paraId="33EAEF97">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视频端口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支持DVI-D、DP</w:t>
            </w:r>
          </w:p>
          <w:p w14:paraId="0FA9A598">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观片灯功能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显示器具有自动切换阅片灯模式的功能，可通过触控按键快速打开观片灯模式，方便医生查看胶片</w:t>
            </w:r>
          </w:p>
          <w:p w14:paraId="0DB3E5BA">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前置感光功能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显示器具有前置感光探头，可控制该探头前实时监测显示器输出亮度，并对DICOM进行精确校正</w:t>
            </w:r>
          </w:p>
          <w:p w14:paraId="73FEB41F">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环境光自适应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显示器可根据环境光自适应调整亮度，可以侦测使用环境的环境光数据，进一步调节显示器的显示效果，更符合人眼观察能力，展现图像，应用于各种亮度环境下</w:t>
            </w:r>
          </w:p>
          <w:p w14:paraId="68F90BF7">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亮度快捷切换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显示器可通过触控按键一键切换亮度，方便医生在高亮度下观察图像细节</w:t>
            </w:r>
          </w:p>
          <w:p w14:paraId="655DDA29">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4.1.11质控软件:</w:t>
            </w:r>
            <w:r>
              <w:rPr>
                <w:rFonts w:hint="eastAsia" w:ascii="宋体" w:hAnsi="宋体" w:eastAsia="宋体" w:cs="宋体"/>
                <w:sz w:val="24"/>
                <w:szCs w:val="24"/>
                <w:highlight w:val="none"/>
              </w:rPr>
              <w:t>可以根据查询条件进行查询报告结果，检索条件包括可以输入的显示器型号、SN、操作人，也包括可以选择的检查类型、检测标准、检测结果、以及显示器类型，还可以通过日期范围来进行时间段内的报告查询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检测报告可以通过预设邮件发送给管理者</w:t>
            </w:r>
          </w:p>
          <w:p w14:paraId="7C74F22C">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CCC认证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产品获得CCC强制认证</w:t>
            </w:r>
            <w:r>
              <w:rPr>
                <w:rFonts w:hint="eastAsia" w:ascii="宋体" w:hAnsi="宋体" w:eastAsia="宋体" w:cs="宋体"/>
                <w:b w:val="0"/>
                <w:bCs w:val="0"/>
                <w:i w:val="0"/>
                <w:iCs w:val="0"/>
                <w:color w:val="000000"/>
                <w:kern w:val="0"/>
                <w:sz w:val="24"/>
                <w:szCs w:val="24"/>
                <w:highlight w:val="none"/>
                <w:u w:val="none"/>
                <w:lang w:val="en-US" w:eastAsia="zh-CN" w:bidi="ar"/>
              </w:rPr>
              <w:t>，并且证书上委托人、生产者和生产企业名称须完全一致。</w:t>
            </w:r>
          </w:p>
          <w:p w14:paraId="5AA471E0">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节能认证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产品获得中国节能产品认证</w:t>
            </w:r>
            <w:r>
              <w:rPr>
                <w:rFonts w:hint="eastAsia" w:ascii="宋体" w:hAnsi="宋体" w:eastAsia="宋体" w:cs="宋体"/>
                <w:sz w:val="24"/>
                <w:szCs w:val="24"/>
                <w:highlight w:val="none"/>
                <w:lang w:eastAsia="zh-CN"/>
              </w:rPr>
              <w:t>，</w:t>
            </w:r>
            <w:r>
              <w:rPr>
                <w:rFonts w:hint="eastAsia" w:ascii="宋体" w:hAnsi="宋体" w:eastAsia="宋体" w:cs="宋体"/>
                <w:b w:val="0"/>
                <w:bCs w:val="0"/>
                <w:i w:val="0"/>
                <w:iCs w:val="0"/>
                <w:color w:val="000000"/>
                <w:kern w:val="0"/>
                <w:sz w:val="24"/>
                <w:szCs w:val="24"/>
                <w:highlight w:val="none"/>
                <w:u w:val="none"/>
                <w:lang w:val="en-US" w:eastAsia="zh-CN" w:bidi="ar"/>
              </w:rPr>
              <w:t>并且证书上委托人、生产者和生产企业名称须完全一致。</w:t>
            </w:r>
          </w:p>
          <w:p w14:paraId="67014568">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6BF45860">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4.2、影像报告集成显示系统（2套）</w:t>
            </w:r>
          </w:p>
          <w:p w14:paraId="2B526ACA">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4.2.1、亮度和曲线自动校准：显示器可以自动校准亮度曲线</w:t>
            </w:r>
          </w:p>
          <w:p w14:paraId="2EE865EE">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4.2.2、基本参数：≧31.5英寸，分辨率≧3840×2160，点距≦0.18159×0.18159mm </w:t>
            </w:r>
          </w:p>
          <w:p w14:paraId="139DD9DF">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4.2.3、必要参数：最大亮度≧1000cd/m²，最大校正亮度≥1000cd/m²，对比度≧1300：1，响应时间≦14ms，可视角度≥178°</w:t>
            </w:r>
          </w:p>
          <w:p w14:paraId="643E7B34">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4.2.4、亮度均匀性：显示器具有亮度均匀性调节功能，确保全屏幕亮度均衡</w:t>
            </w:r>
          </w:p>
          <w:p w14:paraId="0867807F">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4.2.5、色彩：显示器色彩度≧4.398Trillion Colors(42bit)，提供彩页</w:t>
            </w:r>
          </w:p>
          <w:p w14:paraId="4971536B">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4.2.6、视频输入端口：DVI-D×1、DP×2，</w:t>
            </w:r>
          </w:p>
          <w:p w14:paraId="3AD76E8C">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4.2.7、环境光补偿：显示器可根据环境光自适应调整亮度，可以侦测使用环境的环境光数据，进一步调节显示器的显示效果，更符合人眼观察能力，展现图像，应用于各种亮度环境下</w:t>
            </w:r>
          </w:p>
          <w:p w14:paraId="7D5A0D00">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4.2.8、观片灯功能：显示器具有自动切换阅片灯模式的功能，可通过触控按键快速打开观片灯模式，方便医生查看胶片</w:t>
            </w:r>
          </w:p>
          <w:p w14:paraId="55AC17F3">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4.2.9、亮度快捷控制：显示器可通过触控按键一键切换亮度，方便医生在高亮度下观察图像细节</w:t>
            </w:r>
          </w:p>
          <w:p w14:paraId="4CCF22BC">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4.2.10、质控软件:</w:t>
            </w:r>
            <w:r>
              <w:rPr>
                <w:rFonts w:hint="eastAsia" w:ascii="宋体" w:hAnsi="宋体" w:eastAsia="宋体" w:cs="宋体"/>
                <w:sz w:val="24"/>
                <w:szCs w:val="24"/>
                <w:highlight w:val="none"/>
              </w:rPr>
              <w:t>可以根据查询条件进行查询报告结果，检索条件包括可以输入的显示器型号、SN、操作人，也包括可以选择的检查类型、检测标准、检测结果、以及显示器类型，还可以通过日期范围来进行时间段内的报告查询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检测报告可以通过预设邮件发送给管理者</w:t>
            </w:r>
          </w:p>
          <w:p w14:paraId="36682E1B">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4.2.11、认证：获得CCC认证</w:t>
            </w:r>
            <w:r>
              <w:rPr>
                <w:rFonts w:hint="eastAsia" w:ascii="宋体" w:hAnsi="宋体" w:eastAsia="宋体" w:cs="宋体"/>
                <w:b w:val="0"/>
                <w:bCs w:val="0"/>
                <w:i w:val="0"/>
                <w:iCs w:val="0"/>
                <w:color w:val="000000"/>
                <w:kern w:val="0"/>
                <w:sz w:val="24"/>
                <w:szCs w:val="24"/>
                <w:highlight w:val="none"/>
                <w:u w:val="none"/>
                <w:lang w:val="en-US" w:eastAsia="zh-CN" w:bidi="ar"/>
              </w:rPr>
              <w:t>，并且证书上委托人、生产者和生产企业名称须完全一致。</w:t>
            </w:r>
          </w:p>
          <w:p w14:paraId="6E138070">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54A872FB">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4.3、医用显示器显示图像处理技术软件（1套）</w:t>
            </w:r>
          </w:p>
          <w:p w14:paraId="6591EF5D">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4.3.1、</w:t>
            </w:r>
            <w:r>
              <w:rPr>
                <w:rFonts w:hint="eastAsia" w:ascii="宋体" w:hAnsi="宋体" w:eastAsia="宋体" w:cs="宋体"/>
                <w:sz w:val="24"/>
                <w:szCs w:val="24"/>
                <w:highlight w:val="none"/>
                <w:lang w:val="en-US" w:eastAsia="zh-CN"/>
              </w:rPr>
              <w:t>嵌入式安装：软件需兼容市面上主流电脑主机及手机</w:t>
            </w:r>
          </w:p>
          <w:p w14:paraId="6D976962">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4.3.2、桌面感应截图：具备NFC感应区域，将移动设备靠近感应区，可快速获取医用显示器上显示器的医学影像，提供该功能的照片；</w:t>
            </w:r>
          </w:p>
          <w:p w14:paraId="49FD7182">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4.3.3、快速截取影像功能：截取影像预览区供用户查看，并且可遮住患者信息，保证患者隐私，截取图像自动保存到手机相册，提供该功能的照片；</w:t>
            </w:r>
          </w:p>
          <w:p w14:paraId="720C8218">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7CB27BCC">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4.4、医学影像图形校正系统软件（1套）</w:t>
            </w:r>
          </w:p>
          <w:p w14:paraId="23F04822">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4.4.1、基本要求：显示器可自动完成校准亮度曲线，保证显示器亮度稳定，保证阅片效果。</w:t>
            </w:r>
          </w:p>
          <w:p w14:paraId="5E625628">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i w:val="0"/>
                <w:iCs w:val="0"/>
                <w:color w:val="000000"/>
                <w:kern w:val="0"/>
                <w:sz w:val="24"/>
                <w:szCs w:val="24"/>
                <w:highlight w:val="none"/>
                <w:u w:val="none"/>
                <w:lang w:val="en-US" w:eastAsia="zh-CN" w:bidi="ar"/>
              </w:rPr>
            </w:pPr>
          </w:p>
          <w:p w14:paraId="2986CD8A">
            <w:pPr>
              <w:pStyle w:val="3"/>
              <w:bidi w:val="0"/>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五、12M医用显示器（1套）</w:t>
            </w:r>
          </w:p>
          <w:p w14:paraId="05C35B6B">
            <w:pPr>
              <w:pStyle w:val="3"/>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b/>
                <w:bCs/>
                <w:i w:val="0"/>
                <w:iCs w:val="0"/>
                <w:color w:val="000000"/>
                <w:kern w:val="0"/>
                <w:sz w:val="24"/>
                <w:szCs w:val="24"/>
                <w:highlight w:val="none"/>
                <w:u w:val="none"/>
                <w:lang w:val="en-US" w:eastAsia="zh-CN" w:bidi="ar"/>
              </w:rPr>
            </w:pPr>
            <w:bookmarkStart w:id="14" w:name="_Toc149310493"/>
            <w:r>
              <w:rPr>
                <w:rFonts w:hint="eastAsia" w:ascii="宋体" w:hAnsi="宋体" w:eastAsia="宋体" w:cs="宋体"/>
                <w:b/>
                <w:bCs/>
                <w:i w:val="0"/>
                <w:iCs w:val="0"/>
                <w:color w:val="000000"/>
                <w:kern w:val="0"/>
                <w:sz w:val="24"/>
                <w:szCs w:val="24"/>
                <w:highlight w:val="none"/>
                <w:u w:val="none"/>
                <w:lang w:val="en-US" w:eastAsia="zh-CN" w:bidi="ar"/>
              </w:rPr>
              <w:t>5.1、12M专家图像精准审核终端</w:t>
            </w:r>
            <w:bookmarkEnd w:id="14"/>
            <w:r>
              <w:rPr>
                <w:rFonts w:hint="eastAsia" w:ascii="宋体" w:hAnsi="宋体" w:eastAsia="宋体" w:cs="宋体"/>
                <w:b/>
                <w:bCs/>
                <w:i w:val="0"/>
                <w:iCs w:val="0"/>
                <w:color w:val="000000"/>
                <w:kern w:val="0"/>
                <w:sz w:val="24"/>
                <w:szCs w:val="24"/>
                <w:highlight w:val="none"/>
                <w:u w:val="none"/>
                <w:lang w:val="en-US" w:eastAsia="zh-CN" w:bidi="ar"/>
              </w:rPr>
              <w:t>（1套）</w:t>
            </w:r>
          </w:p>
          <w:p w14:paraId="210E0AB4">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5.1.1、自动校准亮度曲线</w:t>
            </w:r>
            <w:r>
              <w:rPr>
                <w:rFonts w:hint="eastAsia" w:ascii="宋体" w:hAnsi="宋体" w:eastAsia="宋体" w:cs="宋体"/>
                <w:b w:val="0"/>
                <w:bCs w:val="0"/>
                <w:i w:val="0"/>
                <w:iCs w:val="0"/>
                <w:color w:val="000000"/>
                <w:kern w:val="0"/>
                <w:sz w:val="24"/>
                <w:szCs w:val="24"/>
                <w:highlight w:val="none"/>
                <w:u w:val="none"/>
                <w:lang w:val="en-US" w:eastAsia="zh-CN" w:bidi="ar"/>
              </w:rPr>
              <w:tab/>
            </w:r>
            <w:r>
              <w:rPr>
                <w:rFonts w:hint="eastAsia" w:ascii="宋体" w:hAnsi="宋体" w:eastAsia="宋体" w:cs="宋体"/>
                <w:b w:val="0"/>
                <w:bCs w:val="0"/>
                <w:i w:val="0"/>
                <w:iCs w:val="0"/>
                <w:color w:val="000000"/>
                <w:kern w:val="0"/>
                <w:sz w:val="24"/>
                <w:szCs w:val="24"/>
                <w:highlight w:val="none"/>
                <w:u w:val="none"/>
                <w:lang w:val="en-US" w:eastAsia="zh-CN" w:bidi="ar"/>
              </w:rPr>
              <w:t>显示器可以自动校准亮度曲线</w:t>
            </w:r>
          </w:p>
          <w:p w14:paraId="7D947EEB">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5.1.2、基本参数：对角线尺寸≧31英寸，分辨率≧4200×2800，点距≦0.1554×0.1554mm；最大亮度≧1200cd/m²，最大校正亮度≥800cd/m²，对比度≧1500：1，响应时间≦14ms，可视角度≥178°，亮度一致性≥90%，须提供产品彩页</w:t>
            </w:r>
          </w:p>
          <w:p w14:paraId="44AB7FAE">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5.1.3、动态校正：显示器LUT表可以动态生成，DICOM曲线可以在500-800cd/m2固定亮度下动态调节</w:t>
            </w:r>
          </w:p>
          <w:p w14:paraId="010D5187">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5.1.4、环境光补偿：根据设定的阅片环境自动补偿和校准显示器亮度，确保影像精准显示 </w:t>
            </w:r>
          </w:p>
          <w:p w14:paraId="17FC550A">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5.1.5、彩色灰阶自适应:显示器可以对医学彩色和灰阶图像自动校准，保证显示器在同时显示彩色图像和灰阶图像的时候，可以分别对彩色图像调用GAMMA曲线校正，灰阶图像调用DICOM曲线校正</w:t>
            </w:r>
          </w:p>
          <w:p w14:paraId="4D78D8AE">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5.1.6、亮度均衡：显示器具有亮度均匀性调节功能，确保全屏幕亮度均衡</w:t>
            </w:r>
          </w:p>
          <w:p w14:paraId="7F76E77A">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5.1.7、色彩度：色彩度≧281.47Trillion Colors(16bit)</w:t>
            </w:r>
          </w:p>
          <w:p w14:paraId="18228CDC">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5.1.8、接口：支持输入接口DP，支持输出接口HDMI</w:t>
            </w:r>
          </w:p>
          <w:p w14:paraId="6900A4E7">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5.1.9、聚光灯：显示器可以突出显示病灶区域，通过显示器触控按键或键盘热键快速打开聚光灯，形状可切换成圆形或矩形</w:t>
            </w:r>
          </w:p>
          <w:p w14:paraId="665CCD5F">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5.1.10、放大镜功能：显示器可以放大显示病灶区域，通过键盘热键快速打开放大镜</w:t>
            </w:r>
          </w:p>
          <w:p w14:paraId="745FACEC">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5.1.11、环境光自适应：显示器可根据环境光自适应调整亮度，可以侦测使用环境的环境光数据，进一步调节显示器的显示效果，更符合人眼观察能力，展现图像，应用于各种亮度环境下</w:t>
            </w:r>
          </w:p>
          <w:p w14:paraId="5A249ADC">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5.1.12、智慧节能：显示器前方具有两个生命体探头， 可探测前方是否有使用人员，自动待机或唤醒显示器，用于消除医用显示器残影并自行保养延长显示器寿命，并更好地实现节能</w:t>
            </w:r>
          </w:p>
          <w:p w14:paraId="52BCA4E7">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5.1.13、阅片灯：支持阅片灯功能</w:t>
            </w:r>
          </w:p>
          <w:p w14:paraId="2FBB926A">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5.1.14、一键增亮：显示器可通过触控按键或鼠标一键切换亮度，方便医生在高亮度下观察图像细节</w:t>
            </w:r>
          </w:p>
          <w:p w14:paraId="0ACD837C">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5.1.15、显示器具备隐藏式电动翻转前置探头，使用时探头从显示器内部向外翻转，检测显示器实际显示区域的亮度、色彩等，保证质控数据的真实有效。</w:t>
            </w:r>
          </w:p>
          <w:p w14:paraId="4353D3D3">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5.1.16、同屏双显：显示器可设置双屏模式，支持文本模式 </w:t>
            </w:r>
          </w:p>
          <w:p w14:paraId="3DCDB859">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5.1.17、显示器可设置病理模式，自动调整亮度至200~600 cd/m²、打开3DLUT、色温校正等功能，用于显示病理图像。提供该功能的实拍照片。</w:t>
            </w:r>
          </w:p>
          <w:p w14:paraId="771659A1">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5.1.18、CCC</w:t>
            </w:r>
            <w:r>
              <w:rPr>
                <w:rFonts w:hint="eastAsia" w:ascii="宋体" w:hAnsi="宋体" w:eastAsia="宋体" w:cs="宋体"/>
                <w:b w:val="0"/>
                <w:bCs w:val="0"/>
                <w:i w:val="0"/>
                <w:iCs w:val="0"/>
                <w:color w:val="000000"/>
                <w:kern w:val="0"/>
                <w:sz w:val="24"/>
                <w:szCs w:val="24"/>
                <w:highlight w:val="none"/>
                <w:u w:val="none"/>
                <w:lang w:val="en-US" w:eastAsia="zh-CN" w:bidi="ar"/>
              </w:rPr>
              <w:tab/>
            </w:r>
            <w:r>
              <w:rPr>
                <w:rFonts w:hint="eastAsia" w:ascii="宋体" w:hAnsi="宋体" w:eastAsia="宋体" w:cs="宋体"/>
                <w:b w:val="0"/>
                <w:bCs w:val="0"/>
                <w:i w:val="0"/>
                <w:iCs w:val="0"/>
                <w:color w:val="000000"/>
                <w:kern w:val="0"/>
                <w:sz w:val="24"/>
                <w:szCs w:val="24"/>
                <w:highlight w:val="none"/>
                <w:u w:val="none"/>
                <w:lang w:val="en-US" w:eastAsia="zh-CN" w:bidi="ar"/>
              </w:rPr>
              <w:t>产品认证：获得CCC强制认证，并且证书上委托人、生产者和生产企业名称须完全一致。</w:t>
            </w:r>
          </w:p>
          <w:p w14:paraId="2901FF6B">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5.1.19、节能产品认证：产品获得中国节能产品认证，并且证书上委托人、生产者和生产企业名称须完全一致。 </w:t>
            </w:r>
          </w:p>
          <w:p w14:paraId="15B9B480">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p>
          <w:p w14:paraId="2521C5E7">
            <w:pPr>
              <w:pStyle w:val="3"/>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b/>
                <w:bCs/>
                <w:i w:val="0"/>
                <w:iCs w:val="0"/>
                <w:color w:val="000000"/>
                <w:kern w:val="0"/>
                <w:sz w:val="24"/>
                <w:szCs w:val="24"/>
                <w:highlight w:val="none"/>
                <w:u w:val="none"/>
                <w:lang w:val="en-US" w:eastAsia="zh-CN" w:bidi="ar"/>
              </w:rPr>
            </w:pPr>
            <w:bookmarkStart w:id="15" w:name="_Toc149310495"/>
            <w:r>
              <w:rPr>
                <w:rFonts w:hint="eastAsia" w:ascii="宋体" w:hAnsi="宋体" w:eastAsia="宋体" w:cs="宋体"/>
                <w:b/>
                <w:bCs/>
                <w:i w:val="0"/>
                <w:iCs w:val="0"/>
                <w:color w:val="000000"/>
                <w:kern w:val="0"/>
                <w:sz w:val="24"/>
                <w:szCs w:val="24"/>
                <w:highlight w:val="none"/>
                <w:u w:val="none"/>
                <w:lang w:val="en-US" w:eastAsia="zh-CN" w:bidi="ar"/>
              </w:rPr>
              <w:t>5.2、显示管理软件</w:t>
            </w:r>
            <w:bookmarkEnd w:id="15"/>
            <w:r>
              <w:rPr>
                <w:rFonts w:hint="eastAsia" w:ascii="宋体" w:hAnsi="宋体" w:eastAsia="宋体" w:cs="宋体"/>
                <w:b/>
                <w:bCs/>
                <w:i w:val="0"/>
                <w:iCs w:val="0"/>
                <w:color w:val="000000"/>
                <w:kern w:val="0"/>
                <w:sz w:val="24"/>
                <w:szCs w:val="24"/>
                <w:highlight w:val="none"/>
                <w:u w:val="none"/>
                <w:lang w:val="en-US" w:eastAsia="zh-CN" w:bidi="ar"/>
              </w:rPr>
              <w:t>（1套）</w:t>
            </w:r>
          </w:p>
          <w:p w14:paraId="41288385">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5.2.1、基础参数:通过管理系统调节显示器亮度、曲线、色温</w:t>
            </w:r>
          </w:p>
          <w:p w14:paraId="5BED5B73">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5.2.2、阅片灯快捷键调用:通过管理系统开启关闭阅片灯，可设定开关热键，通过热键快速开启观片灯</w:t>
            </w:r>
          </w:p>
          <w:p w14:paraId="08A0374D">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5.2.3、一键增亮:通过管理系统开启一键增亮模式，让医生在高亮下观察影像细节</w:t>
            </w:r>
          </w:p>
          <w:p w14:paraId="07967CC8">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5.2.4、键盘灯:通过管理系统开启键盘灯，照亮键盘区域</w:t>
            </w:r>
          </w:p>
          <w:p w14:paraId="41BA273F">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5.2.5、彩色灰阶自适应快捷调用:通过管理系统开启彩色灰阶自适应功能，可在已安装的应用列表中自行选择彩色灰阶自适应功能用用激活列表，可设备开关热键，通过热键快速打开彩色灰阶自适应功能</w:t>
            </w:r>
          </w:p>
          <w:p w14:paraId="17FF20CD">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5.2.6、聚光灯快捷调用:通过管理系统开启聚光灯功能，聚光灯形状可选择圆形和矩形，可设定开关热键，通过热键快速开启聚光灯</w:t>
            </w:r>
          </w:p>
          <w:p w14:paraId="4A4BE2DB">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5.2.7、放大镜快捷调用:通过管理系统开启放大镜功能，通过鼠标滚轮切换放大倍数</w:t>
            </w:r>
          </w:p>
          <w:p w14:paraId="326CA5B7">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5.2.8、屏幕克隆快捷调用:通过管理系统开启屏幕克隆功能，可将源显示器的画面拼接之后克隆至目标显示器，可设定开关热键，通过热键快速开启屏幕克隆功能</w:t>
            </w:r>
          </w:p>
          <w:p w14:paraId="135348F8">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5.2.9、虚拟显示器快捷调用:通过管理系统开启虚拟显示器功能，可在一个显示器上根据需要将显示区域分割成最多4块区域，每块区域单独显示，可设定开关热键，通过热键快速开启虚拟显示器功能</w:t>
            </w:r>
          </w:p>
          <w:p w14:paraId="13174797">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5.2.10、主显识别快捷调用：通过管理系统开启亮度自动调节功能，并选择应用的显示器，根据鼠标所在的位置自动调整显示器的亮度，可设定开关热键，通过热键快速开启亮度自动调节功能</w:t>
            </w:r>
          </w:p>
          <w:p w14:paraId="2FD258BA">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5.2.11、鼠标分屏平滑移动：通过管理系统开启鼠标智能移动功能，在两个不同分辨率的显示器之间顺滑移动</w:t>
            </w:r>
          </w:p>
          <w:p w14:paraId="0B8B4562">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5.2.12、鼠标定位快捷调用：通过管理系统开启鼠标快速定位功能，在高分辨率显示器快速定位到鼠标位置，可设定开关热键，通过热键快速开启鼠标快速定位功能</w:t>
            </w:r>
          </w:p>
          <w:p w14:paraId="1B06D9C4">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5.2.13、护眼提示：通过管理系统开启护眼提示，可设定提示时间间隔</w:t>
            </w:r>
          </w:p>
          <w:p w14:paraId="0E7FD6D0">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5.2.14、智慧截图快捷调用：通过管理系统开启截图功能，可在不依赖第三方软件的情况下对屏幕画面进行截图，并且自由选择所需的截图区域与保存方式，可设定开关热键，通过热键快速开启截图功能</w:t>
            </w:r>
          </w:p>
          <w:p w14:paraId="6B000CA7">
            <w:pPr>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648B9F25">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六、胶片直投系统（1套）</w:t>
            </w:r>
          </w:p>
          <w:p w14:paraId="04BCFDFA">
            <w:pPr>
              <w:pStyle w:val="3"/>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z w:val="24"/>
                <w:szCs w:val="24"/>
                <w:highlight w:val="none"/>
              </w:rPr>
            </w:pPr>
            <w:bookmarkStart w:id="16" w:name="_Toc4736"/>
            <w:bookmarkStart w:id="17" w:name="_Toc149310411"/>
            <w:bookmarkStart w:id="18" w:name="_Toc135933420"/>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b/>
                <w:bCs/>
                <w:sz w:val="24"/>
                <w:szCs w:val="24"/>
                <w:highlight w:val="none"/>
              </w:rPr>
              <w:t>4K摄像机</w:t>
            </w:r>
            <w:bookmarkEnd w:id="16"/>
            <w:bookmarkEnd w:id="17"/>
            <w:bookmarkEnd w:id="18"/>
          </w:p>
          <w:p w14:paraId="428C4AC9">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6.1.1、</w:t>
            </w:r>
            <w:r>
              <w:rPr>
                <w:rFonts w:hint="eastAsia" w:ascii="宋体" w:hAnsi="宋体" w:eastAsia="宋体" w:cs="宋体"/>
                <w:sz w:val="24"/>
                <w:szCs w:val="24"/>
                <w:highlight w:val="none"/>
              </w:rPr>
              <w:t>操作方式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可实现胶片扫描直投，将外来胶片放置于专业的胶片扫描台上，即可自动完成扫描，并一键投射至会诊屏，用于多人胶片会诊，且图片可进行放大缩小等操作，摄像机支持云台控制</w:t>
            </w:r>
          </w:p>
          <w:p w14:paraId="5B82BD08">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采集分辨率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摄像机分辨率达到4K*2K</w:t>
            </w:r>
          </w:p>
          <w:p w14:paraId="5C16CAA4">
            <w:pPr>
              <w:pStyle w:val="3"/>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z w:val="24"/>
                <w:szCs w:val="24"/>
                <w:highlight w:val="none"/>
              </w:rPr>
            </w:pPr>
            <w:bookmarkStart w:id="19" w:name="_Toc23621"/>
            <w:bookmarkStart w:id="20" w:name="_Toc135933421"/>
            <w:bookmarkStart w:id="21" w:name="_Toc149310412"/>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.2、高亮度医用观片台</w:t>
            </w:r>
            <w:bookmarkEnd w:id="19"/>
            <w:bookmarkEnd w:id="20"/>
            <w:bookmarkEnd w:id="21"/>
          </w:p>
          <w:p w14:paraId="066B9C4F">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亮度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胶片扫描台亮度高于4000cd/m²</w:t>
            </w:r>
          </w:p>
          <w:p w14:paraId="1CB6A6A4">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6.2.2、</w:t>
            </w:r>
            <w:r>
              <w:rPr>
                <w:rFonts w:hint="eastAsia" w:ascii="宋体" w:hAnsi="宋体" w:eastAsia="宋体" w:cs="宋体"/>
                <w:sz w:val="24"/>
                <w:szCs w:val="24"/>
                <w:highlight w:val="none"/>
              </w:rPr>
              <w:t>插片自启动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观片灯支持插片自启动</w:t>
            </w:r>
          </w:p>
          <w:p w14:paraId="01EEA2D7">
            <w:pPr>
              <w:pStyle w:val="3"/>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b/>
                <w:bCs/>
                <w:sz w:val="24"/>
                <w:szCs w:val="24"/>
                <w:highlight w:val="none"/>
              </w:rPr>
            </w:pPr>
            <w:bookmarkStart w:id="22" w:name="_Toc784"/>
            <w:bookmarkStart w:id="23" w:name="_Toc149310413"/>
            <w:bookmarkStart w:id="24" w:name="_Toc135933422"/>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.3、台式安装结构</w:t>
            </w:r>
            <w:bookmarkEnd w:id="22"/>
            <w:bookmarkEnd w:id="23"/>
            <w:bookmarkEnd w:id="24"/>
          </w:p>
          <w:p w14:paraId="0DA48FE7">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尺寸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整体外观尺寸不超过600×600×800mm</w:t>
            </w:r>
          </w:p>
          <w:p w14:paraId="4B44ECBF">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6.3.</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一体式设计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摄像机、观片台，云胶片扫描系统等采用一体式的结构设计，保证影像清晰精准，并提供实物照片</w:t>
            </w:r>
          </w:p>
          <w:p w14:paraId="10355910">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71DDE468">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七、电子讲台（1套）</w:t>
            </w:r>
          </w:p>
          <w:p w14:paraId="65F353EF">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7.1、内置显示器：≥27英寸，分辨率≥3840×2160</w:t>
            </w:r>
          </w:p>
          <w:p w14:paraId="05FC3AD0">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7.2、一体机电脑：CPUI5以上，内存≥4G，硬盘≥256GB固态硬盘，无线键鼠</w:t>
            </w:r>
          </w:p>
          <w:p w14:paraId="41E88DCA">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7.3、触摸屏控制：支持手写和电容笔书写</w:t>
            </w:r>
          </w:p>
          <w:p w14:paraId="325DBF45">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7.4、音响：内置音箱，满足扩音需要</w:t>
            </w:r>
          </w:p>
          <w:p w14:paraId="301F827C">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7.5、音源输入：双麦克风音源输入</w:t>
            </w:r>
          </w:p>
          <w:p w14:paraId="7EB8E457">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7.6、视频输入接口：HDMI×1</w:t>
            </w:r>
          </w:p>
          <w:p w14:paraId="6F333582">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7.7、视频切换：可一键在讲台一体机和外来输入视频之间切换。</w:t>
            </w:r>
          </w:p>
          <w:p w14:paraId="1F59626F">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7.8、一体设计：整机采用一体机设计，所有功能都集成在一个可移动的讲台内，无其他附属设备。</w:t>
            </w:r>
          </w:p>
          <w:p w14:paraId="5F3E7107">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66731FED">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八、会诊显示器底座（1套）</w:t>
            </w:r>
          </w:p>
          <w:p w14:paraId="68037ED6">
            <w:pPr>
              <w:pStyle w:val="59"/>
              <w:pageBreakBefore w:val="0"/>
              <w:widowControl w:val="0"/>
              <w:numPr>
                <w:ilvl w:val="0"/>
                <w:numId w:val="0"/>
              </w:numPr>
              <w:kinsoku/>
              <w:wordWrap/>
              <w:overflowPunct/>
              <w:topLinePunct w:val="0"/>
              <w:autoSpaceDE/>
              <w:autoSpaceDN/>
              <w:bidi w:val="0"/>
              <w:spacing w:line="24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8.1、</w:t>
            </w:r>
            <w:r>
              <w:rPr>
                <w:rFonts w:hint="eastAsia" w:ascii="宋体" w:hAnsi="宋体" w:eastAsia="宋体" w:cs="宋体"/>
                <w:sz w:val="24"/>
                <w:szCs w:val="24"/>
                <w:highlight w:val="none"/>
              </w:rPr>
              <w:t>高度调整支持电动升降</w:t>
            </w:r>
          </w:p>
          <w:p w14:paraId="406CFE7A">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8.2、</w:t>
            </w:r>
            <w:r>
              <w:rPr>
                <w:rFonts w:hint="eastAsia" w:ascii="宋体" w:hAnsi="宋体" w:eastAsia="宋体" w:cs="宋体"/>
                <w:sz w:val="24"/>
                <w:szCs w:val="24"/>
                <w:highlight w:val="none"/>
              </w:rPr>
              <w:t>可通过遥控器或升降按钮调整显示器高度</w:t>
            </w:r>
          </w:p>
          <w:p w14:paraId="27328F63">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8.3、</w:t>
            </w:r>
            <w:r>
              <w:rPr>
                <w:rFonts w:hint="eastAsia" w:ascii="宋体" w:hAnsi="宋体" w:eastAsia="宋体" w:cs="宋体"/>
                <w:sz w:val="24"/>
                <w:szCs w:val="24"/>
                <w:highlight w:val="none"/>
              </w:rPr>
              <w:t>1862mm≤整机高度≤2362mm</w:t>
            </w:r>
          </w:p>
          <w:p w14:paraId="753625E7">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8.4、脚轮需达 5000 次刹制寿命，刹制功能保持正常，全方位解决移动要求</w:t>
            </w:r>
          </w:p>
          <w:p w14:paraId="75DB8FE0">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i w:val="0"/>
                <w:iCs w:val="0"/>
                <w:color w:val="000000"/>
                <w:kern w:val="0"/>
                <w:sz w:val="24"/>
                <w:szCs w:val="24"/>
                <w:highlight w:val="none"/>
                <w:u w:val="none"/>
                <w:lang w:val="en-US" w:eastAsia="zh-CN" w:bidi="ar"/>
              </w:rPr>
            </w:pPr>
          </w:p>
          <w:p w14:paraId="0F7D88B8">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九、移动便携医用显示器（1套）</w:t>
            </w:r>
          </w:p>
          <w:p w14:paraId="542A597A">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基本参数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尺寸≥13.5英寸，点距≤0.0951mm×0.0951mm,分辨率=3000×2000，对比度≥1800：1，提供彩页</w:t>
            </w:r>
          </w:p>
          <w:p w14:paraId="01C1EE97">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9.2、</w:t>
            </w:r>
            <w:r>
              <w:rPr>
                <w:rFonts w:hint="eastAsia" w:ascii="宋体" w:hAnsi="宋体" w:eastAsia="宋体" w:cs="宋体"/>
                <w:sz w:val="24"/>
                <w:szCs w:val="24"/>
                <w:highlight w:val="none"/>
              </w:rPr>
              <w:t>色彩度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色彩≥42bit(灰度等级≥14bit)，具有超高位宽图像增强功能</w:t>
            </w:r>
          </w:p>
          <w:p w14:paraId="46F39623">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9.3、</w:t>
            </w:r>
            <w:r>
              <w:rPr>
                <w:rFonts w:hint="eastAsia" w:ascii="宋体" w:hAnsi="宋体" w:eastAsia="宋体" w:cs="宋体"/>
                <w:sz w:val="24"/>
                <w:szCs w:val="24"/>
                <w:highlight w:val="none"/>
              </w:rPr>
              <w:t>曲线校准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支持DICOM、GAMMA2.2、CT/MRI曲线</w:t>
            </w:r>
          </w:p>
          <w:p w14:paraId="2DE5D596">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9.4、</w:t>
            </w:r>
            <w:r>
              <w:rPr>
                <w:rFonts w:hint="eastAsia" w:ascii="宋体" w:hAnsi="宋体" w:eastAsia="宋体" w:cs="宋体"/>
                <w:sz w:val="24"/>
                <w:szCs w:val="24"/>
                <w:highlight w:val="none"/>
              </w:rPr>
              <w:t>接口模块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接口：支持Mini-DP×1、Type-C×1,提供接口照片</w:t>
            </w:r>
          </w:p>
          <w:p w14:paraId="69E2B3E9">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9.5、</w:t>
            </w:r>
            <w:r>
              <w:rPr>
                <w:rFonts w:hint="eastAsia" w:ascii="宋体" w:hAnsi="宋体" w:eastAsia="宋体" w:cs="宋体"/>
                <w:sz w:val="24"/>
                <w:szCs w:val="24"/>
                <w:highlight w:val="none"/>
              </w:rPr>
              <w:t>双向触控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支持触控控制，可与手机直连进行诊断，同时支持双向触摸控制 </w:t>
            </w:r>
          </w:p>
          <w:p w14:paraId="5BC73755">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9.6、</w:t>
            </w:r>
            <w:r>
              <w:rPr>
                <w:rFonts w:hint="eastAsia" w:ascii="宋体" w:hAnsi="宋体" w:eastAsia="宋体" w:cs="宋体"/>
                <w:sz w:val="24"/>
                <w:szCs w:val="24"/>
                <w:highlight w:val="none"/>
              </w:rPr>
              <w:t>双屏显示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支持独立两路信号输入，并支持分屏后分别DICOM/GAMMA曲线调节</w:t>
            </w:r>
          </w:p>
          <w:p w14:paraId="7F3C5E9F">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9.7、</w:t>
            </w:r>
            <w:r>
              <w:rPr>
                <w:rFonts w:hint="eastAsia" w:ascii="宋体" w:hAnsi="宋体" w:eastAsia="宋体" w:cs="宋体"/>
                <w:sz w:val="24"/>
                <w:szCs w:val="24"/>
                <w:highlight w:val="none"/>
              </w:rPr>
              <w:t>产品认证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需提供所投产品的3C证书</w:t>
            </w:r>
            <w:r>
              <w:rPr>
                <w:rFonts w:hint="eastAsia" w:ascii="宋体" w:hAnsi="宋体" w:eastAsia="宋体" w:cs="宋体"/>
                <w:sz w:val="24"/>
                <w:szCs w:val="24"/>
                <w:highlight w:val="none"/>
                <w:lang w:val="en-US" w:eastAsia="zh-CN"/>
              </w:rPr>
              <w:t>及节能认证</w:t>
            </w:r>
          </w:p>
          <w:p w14:paraId="104FC2E2">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19D55A73">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十、灯光控制系统（1套）</w:t>
            </w:r>
          </w:p>
          <w:p w14:paraId="29CF4808">
            <w:pPr>
              <w:pageBreakBefore w:val="0"/>
              <w:widowControl w:val="0"/>
              <w:numPr>
                <w:ilvl w:val="0"/>
                <w:numId w:val="0"/>
              </w:numPr>
              <w:kinsoku/>
              <w:wordWrap/>
              <w:overflowPunct/>
              <w:topLinePunct w:val="0"/>
              <w:autoSpaceDE/>
              <w:autoSpaceDN/>
              <w:bidi w:val="0"/>
              <w:spacing w:line="240" w:lineRule="auto"/>
              <w:ind w:leftChars="0"/>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10.1、智能控制管理平台</w:t>
            </w:r>
          </w:p>
          <w:p w14:paraId="7A34177F">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10.1.1、</w:t>
            </w:r>
            <w:r>
              <w:rPr>
                <w:rFonts w:hint="eastAsia" w:ascii="宋体" w:hAnsi="宋体" w:eastAsia="宋体" w:cs="宋体"/>
                <w:sz w:val="24"/>
                <w:szCs w:val="24"/>
                <w:highlight w:val="none"/>
              </w:rPr>
              <w:t>环境标准：环境照度50-100Lux之间，负效应光角度为0。色温在4000—6000K之间，光照均匀，无频闪。</w:t>
            </w:r>
          </w:p>
          <w:p w14:paraId="26836D86">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10.1.2、</w:t>
            </w:r>
            <w:r>
              <w:rPr>
                <w:rFonts w:hint="eastAsia" w:ascii="宋体" w:hAnsi="宋体" w:eastAsia="宋体" w:cs="宋体"/>
                <w:sz w:val="24"/>
                <w:szCs w:val="24"/>
                <w:highlight w:val="none"/>
              </w:rPr>
              <w:t>检测管理：具备环境照度检测功能，可实时显示阅片室内环境照度。包括温湿度检测功能，可实时显示阅片室内温湿度。</w:t>
            </w:r>
          </w:p>
          <w:p w14:paraId="59D19959">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10.1.3、</w:t>
            </w:r>
            <w:r>
              <w:rPr>
                <w:rFonts w:hint="eastAsia" w:ascii="宋体" w:hAnsi="宋体" w:eastAsia="宋体" w:cs="宋体"/>
                <w:sz w:val="24"/>
                <w:szCs w:val="24"/>
                <w:highlight w:val="none"/>
              </w:rPr>
              <w:t>分区控制：每个分区的灯光可单独调节亮度以及控制开关，并且控制方式便捷</w:t>
            </w:r>
            <w:r>
              <w:rPr>
                <w:rFonts w:hint="eastAsia" w:ascii="宋体" w:hAnsi="宋体" w:eastAsia="宋体" w:cs="宋体"/>
                <w:sz w:val="24"/>
                <w:szCs w:val="24"/>
                <w:highlight w:val="none"/>
                <w:lang w:eastAsia="zh-CN"/>
              </w:rPr>
              <w:t>。</w:t>
            </w:r>
          </w:p>
          <w:p w14:paraId="4D202B1A">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10.1.4、</w:t>
            </w:r>
            <w:r>
              <w:rPr>
                <w:rFonts w:hint="eastAsia" w:ascii="宋体" w:hAnsi="宋体" w:eastAsia="宋体" w:cs="宋体"/>
                <w:sz w:val="24"/>
                <w:szCs w:val="24"/>
                <w:highlight w:val="none"/>
              </w:rPr>
              <w:t>情景模式控制：提供阅片情景模式快捷功能，在阅片时，可通过该快捷功能，一键将灯光调节至标准值。该模式下的灯光照度值等信息需在软件界面中提示以方便操作者做出正确的选择</w:t>
            </w:r>
            <w:r>
              <w:rPr>
                <w:rFonts w:hint="eastAsia" w:ascii="宋体" w:hAnsi="宋体" w:eastAsia="宋体" w:cs="宋体"/>
                <w:sz w:val="24"/>
                <w:szCs w:val="24"/>
                <w:highlight w:val="none"/>
                <w:lang w:eastAsia="zh-CN"/>
              </w:rPr>
              <w:t>。</w:t>
            </w:r>
          </w:p>
          <w:p w14:paraId="2832947C">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10.1.5、</w:t>
            </w:r>
            <w:r>
              <w:rPr>
                <w:rFonts w:hint="eastAsia" w:ascii="宋体" w:hAnsi="宋体" w:eastAsia="宋体" w:cs="宋体"/>
                <w:sz w:val="24"/>
                <w:szCs w:val="24"/>
                <w:highlight w:val="none"/>
              </w:rPr>
              <w:t>提供会诊情景模式快捷功能，在会诊时，可通过该快捷功能，一键将灯光调节至合适状态，并自动打开会诊屏。该模式下的灯光照度值、会诊屏状态等信息需在软件界面中提示以方便操作者做出正确操作选择。</w:t>
            </w:r>
          </w:p>
          <w:p w14:paraId="1E0041FA">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10.1.6、</w:t>
            </w:r>
            <w:r>
              <w:rPr>
                <w:rFonts w:hint="eastAsia" w:ascii="宋体" w:hAnsi="宋体" w:eastAsia="宋体" w:cs="宋体"/>
                <w:sz w:val="24"/>
                <w:szCs w:val="24"/>
                <w:highlight w:val="none"/>
              </w:rPr>
              <w:t>提供讨论情景模式快捷功能，在讨论时，可通过该快捷功能，一键将灯光调节明亮状态。该模式下的灯光照度值等信息需在软件界面中提示以方便操作者做出正确操作选择。</w:t>
            </w:r>
          </w:p>
          <w:p w14:paraId="0F93328B">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10.1.7、</w:t>
            </w:r>
            <w:r>
              <w:rPr>
                <w:rFonts w:hint="eastAsia" w:ascii="宋体" w:hAnsi="宋体" w:eastAsia="宋体" w:cs="宋体"/>
                <w:sz w:val="24"/>
                <w:szCs w:val="24"/>
                <w:highlight w:val="none"/>
              </w:rPr>
              <w:t>自定义模式：系统需提供至少两个自定义模式，当上述情景模式无法满足科室需求时，科室可根据实际情况自行设置，且自定义模式下灯光、会诊屏等状态需在软件界面中显示，以方便操作者做出正确操作选择，需提供自定义模式的设置步骤。</w:t>
            </w:r>
          </w:p>
          <w:p w14:paraId="41005F1D">
            <w:pPr>
              <w:pageBreakBefore w:val="0"/>
              <w:widowControl w:val="0"/>
              <w:numPr>
                <w:ilvl w:val="0"/>
                <w:numId w:val="0"/>
              </w:numPr>
              <w:kinsoku/>
              <w:wordWrap/>
              <w:overflowPunct/>
              <w:topLinePunct w:val="0"/>
              <w:autoSpaceDE/>
              <w:autoSpaceDN/>
              <w:bidi w:val="0"/>
              <w:spacing w:line="240" w:lineRule="auto"/>
              <w:ind w:leftChars="0"/>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64749118">
            <w:pPr>
              <w:pageBreakBefore w:val="0"/>
              <w:widowControl w:val="0"/>
              <w:numPr>
                <w:ilvl w:val="0"/>
                <w:numId w:val="0"/>
              </w:numPr>
              <w:kinsoku/>
              <w:wordWrap/>
              <w:overflowPunct/>
              <w:topLinePunct w:val="0"/>
              <w:autoSpaceDE/>
              <w:autoSpaceDN/>
              <w:bidi w:val="0"/>
              <w:spacing w:line="240" w:lineRule="auto"/>
              <w:ind w:leftChars="0"/>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10.2、灯光控制模块</w:t>
            </w:r>
          </w:p>
          <w:p w14:paraId="340D5A78">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10.2.1、</w:t>
            </w:r>
            <w:r>
              <w:rPr>
                <w:rFonts w:hint="eastAsia" w:ascii="宋体" w:hAnsi="宋体" w:eastAsia="宋体" w:cs="宋体"/>
                <w:sz w:val="24"/>
                <w:szCs w:val="24"/>
                <w:highlight w:val="none"/>
              </w:rPr>
              <w:t>嵌入式安装方式</w:t>
            </w:r>
          </w:p>
          <w:p w14:paraId="5F6DDC28">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10.2.3、</w:t>
            </w:r>
            <w:r>
              <w:rPr>
                <w:rFonts w:hint="eastAsia" w:ascii="宋体" w:hAnsi="宋体" w:eastAsia="宋体" w:cs="宋体"/>
                <w:sz w:val="24"/>
                <w:szCs w:val="24"/>
                <w:highlight w:val="none"/>
              </w:rPr>
              <w:t>支持情景模式一键控制，按键上定制提示文字</w:t>
            </w:r>
          </w:p>
          <w:p w14:paraId="2E8851C5">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10.2.4</w:t>
            </w:r>
            <w:r>
              <w:rPr>
                <w:rFonts w:hint="eastAsia" w:ascii="宋体" w:hAnsi="宋体" w:eastAsia="宋体" w:cs="宋体"/>
                <w:sz w:val="24"/>
                <w:szCs w:val="24"/>
                <w:highlight w:val="none"/>
              </w:rPr>
              <w:t>提供≥4组按键，每组按键对应一个情景模式</w:t>
            </w:r>
          </w:p>
          <w:p w14:paraId="1F938FCD">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10.2.5、</w:t>
            </w:r>
            <w:r>
              <w:rPr>
                <w:rFonts w:hint="eastAsia" w:ascii="宋体" w:hAnsi="宋体" w:eastAsia="宋体" w:cs="宋体"/>
                <w:sz w:val="24"/>
                <w:szCs w:val="24"/>
                <w:highlight w:val="none"/>
              </w:rPr>
              <w:t>情景模式包括上班模式，阅片模式，会诊模式，下班模式</w:t>
            </w:r>
          </w:p>
          <w:p w14:paraId="412C17EF">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10.2.6、</w:t>
            </w:r>
            <w:r>
              <w:rPr>
                <w:rFonts w:hint="eastAsia" w:ascii="宋体" w:hAnsi="宋体" w:eastAsia="宋体" w:cs="宋体"/>
                <w:sz w:val="24"/>
                <w:szCs w:val="24"/>
                <w:highlight w:val="none"/>
              </w:rPr>
              <w:t>电源：输入电源DC24V。</w:t>
            </w:r>
          </w:p>
          <w:p w14:paraId="5826D35A">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10.2.7、</w:t>
            </w:r>
            <w:r>
              <w:rPr>
                <w:rFonts w:hint="eastAsia" w:ascii="宋体" w:hAnsi="宋体" w:eastAsia="宋体" w:cs="宋体"/>
                <w:sz w:val="24"/>
                <w:szCs w:val="24"/>
                <w:highlight w:val="none"/>
              </w:rPr>
              <w:t>接口：提供TCP/IP网络接口，提供RS485控制接口。</w:t>
            </w:r>
          </w:p>
          <w:p w14:paraId="14B99138">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10.2.8、</w:t>
            </w:r>
            <w:r>
              <w:rPr>
                <w:rFonts w:hint="eastAsia" w:ascii="宋体" w:hAnsi="宋体" w:eastAsia="宋体" w:cs="宋体"/>
                <w:sz w:val="24"/>
                <w:szCs w:val="24"/>
                <w:highlight w:val="none"/>
              </w:rPr>
              <w:t>通信协议：提供不少于2路EC-NET总线A/B，支持RS485协议，支持DINEN50022标准导轨。</w:t>
            </w:r>
          </w:p>
          <w:p w14:paraId="0CE8CFC6">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10.2.9、</w:t>
            </w:r>
            <w:r>
              <w:rPr>
                <w:rFonts w:hint="eastAsia" w:ascii="宋体" w:hAnsi="宋体" w:eastAsia="宋体" w:cs="宋体"/>
                <w:sz w:val="24"/>
                <w:szCs w:val="24"/>
                <w:highlight w:val="none"/>
              </w:rPr>
              <w:t>控制回路：提供不少于4路专业LED光源回路的环路控制。</w:t>
            </w:r>
          </w:p>
          <w:p w14:paraId="6E08BAF3">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10.2.10、</w:t>
            </w:r>
            <w:r>
              <w:rPr>
                <w:rFonts w:hint="eastAsia" w:ascii="宋体" w:hAnsi="宋体" w:eastAsia="宋体" w:cs="宋体"/>
                <w:sz w:val="24"/>
                <w:szCs w:val="24"/>
                <w:highlight w:val="none"/>
              </w:rPr>
              <w:t>控制容量：每路总线可带不少于64个ID设备</w:t>
            </w:r>
          </w:p>
          <w:p w14:paraId="27ADB526">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10.2.11、</w:t>
            </w:r>
            <w:r>
              <w:rPr>
                <w:rFonts w:hint="eastAsia" w:ascii="宋体" w:hAnsi="宋体" w:eastAsia="宋体" w:cs="宋体"/>
                <w:sz w:val="24"/>
                <w:szCs w:val="24"/>
                <w:highlight w:val="none"/>
              </w:rPr>
              <w:t>安全性：高强度弹性热</w:t>
            </w:r>
            <w:r>
              <w:rPr>
                <w:rFonts w:hint="eastAsia" w:ascii="宋体" w:hAnsi="宋体" w:eastAsia="宋体" w:cs="宋体"/>
                <w:sz w:val="24"/>
                <w:szCs w:val="24"/>
                <w:highlight w:val="none"/>
                <w:lang w:val="en-US" w:eastAsia="zh-CN"/>
              </w:rPr>
              <w:t>塑</w:t>
            </w:r>
            <w:r>
              <w:rPr>
                <w:rFonts w:hint="eastAsia" w:ascii="宋体" w:hAnsi="宋体" w:eastAsia="宋体" w:cs="宋体"/>
                <w:sz w:val="24"/>
                <w:szCs w:val="24"/>
                <w:highlight w:val="none"/>
              </w:rPr>
              <w:t>外壳，强抗冲击，可回收，强阻燃性。</w:t>
            </w:r>
          </w:p>
          <w:p w14:paraId="0A433394">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10.2.12</w:t>
            </w:r>
            <w:r>
              <w:rPr>
                <w:rFonts w:hint="eastAsia" w:ascii="宋体" w:hAnsi="宋体" w:eastAsia="宋体" w:cs="宋体"/>
                <w:sz w:val="24"/>
                <w:szCs w:val="24"/>
                <w:highlight w:val="none"/>
              </w:rPr>
              <w:t>控制带宽：≥4个模数宽度（一个模数宽度约18mm）。</w:t>
            </w:r>
          </w:p>
          <w:p w14:paraId="77623A62">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10.2.13、</w:t>
            </w:r>
            <w:r>
              <w:rPr>
                <w:rFonts w:hint="eastAsia" w:ascii="宋体" w:hAnsi="宋体" w:eastAsia="宋体" w:cs="宋体"/>
                <w:sz w:val="24"/>
                <w:szCs w:val="24"/>
                <w:highlight w:val="none"/>
              </w:rPr>
              <w:t>处理器：32位高速嵌入式ARM处理器，能高速运行复杂的逻辑指令。</w:t>
            </w:r>
          </w:p>
          <w:p w14:paraId="69C8748A">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10.2.14、</w:t>
            </w:r>
            <w:r>
              <w:rPr>
                <w:rFonts w:hint="eastAsia" w:ascii="宋体" w:hAnsi="宋体" w:eastAsia="宋体" w:cs="宋体"/>
                <w:sz w:val="24"/>
                <w:szCs w:val="24"/>
                <w:highlight w:val="none"/>
              </w:rPr>
              <w:t>闭环控制：配置环境照度闭环控制功能，智能墙面控制开关支持≥4个情景模式一键控制。</w:t>
            </w:r>
          </w:p>
          <w:p w14:paraId="4C215467">
            <w:pPr>
              <w:pStyle w:val="59"/>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highlight w:val="none"/>
                <w:lang w:val="en-US" w:eastAsia="zh-CN"/>
              </w:rPr>
            </w:pPr>
          </w:p>
          <w:p w14:paraId="1F58FBB8">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十一、晨读系统（1套）</w:t>
            </w:r>
          </w:p>
          <w:p w14:paraId="742CAB74">
            <w:pPr>
              <w:pStyle w:val="3"/>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10</w:t>
            </w:r>
            <w:r>
              <w:rPr>
                <w:rFonts w:hint="eastAsia" w:ascii="宋体" w:hAnsi="宋体" w:eastAsia="宋体" w:cs="宋体"/>
                <w:sz w:val="24"/>
                <w:szCs w:val="24"/>
                <w:highlight w:val="none"/>
                <w:lang w:bidi="ar"/>
              </w:rPr>
              <w:t>.1、晨会系统服务端</w:t>
            </w:r>
          </w:p>
          <w:p w14:paraId="7334DFE4">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账户管理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每个人有单独的账户，并提供账号和密码登录</w:t>
            </w:r>
          </w:p>
          <w:p w14:paraId="2E27C360">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组别管理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可根据实际的专业分组情况或者学术小组员进行组别的建立，便于后期更灵活的管理</w:t>
            </w:r>
          </w:p>
          <w:p w14:paraId="0E5B1715">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人员管理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根据科室实际的人员情况，建立每个人的档案，并为其分配不同的角色和小组，从而具备不同的权限</w:t>
            </w:r>
          </w:p>
          <w:p w14:paraId="10E56CE5">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分类管理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依据实际的读片活动类型进行活动类型创建，并为读片活动提供活动类型的标签，便于后期读片的分类管理</w:t>
            </w:r>
          </w:p>
          <w:p w14:paraId="4B0AE86C">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系统对接</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跟RIS、PACS等系统直接对接，通过病人门诊号、住院号或者身份证等信息，可直接导入病人信息</w:t>
            </w:r>
          </w:p>
          <w:p w14:paraId="4736297F">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PACS浏览</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集成PACS浏览器，并支持对影像窗宽窗位调节等基本操作</w:t>
            </w:r>
          </w:p>
          <w:p w14:paraId="512B6773">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PACS对接</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支持医院现有PACS系统集成，从而降低本院医生学习成本</w:t>
            </w:r>
          </w:p>
          <w:p w14:paraId="119159B8">
            <w:pPr>
              <w:pStyle w:val="3"/>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bidi="ar"/>
              </w:rPr>
              <w:t>晨会系统客户端</w:t>
            </w:r>
          </w:p>
          <w:p w14:paraId="492B2F5A">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r>
              <w:rPr>
                <w:rFonts w:hint="eastAsia" w:ascii="宋体" w:hAnsi="宋体" w:eastAsia="宋体" w:cs="宋体"/>
                <w:sz w:val="24"/>
                <w:szCs w:val="24"/>
                <w:highlight w:val="none"/>
              </w:rPr>
              <w:t>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快速排班</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针对周期性的学术活动，依据不同的学术类型，选择好讲课人员，并设置好相关规则，一键实现自动排班</w:t>
            </w:r>
          </w:p>
          <w:p w14:paraId="489854F9">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手动排班</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针对非周期性的学术活动，可手动进行排班</w:t>
            </w:r>
          </w:p>
          <w:p w14:paraId="59E8BC53">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日历模式</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排班完成后，支持日历模式对排班情况进行核对，查看是否有冲突，当有冲突时可直接进行调整</w:t>
            </w:r>
          </w:p>
          <w:p w14:paraId="02A09157">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自主调班</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排班完成后，如有特殊情况，排班当天不能准时授课，可以自主申请调班，提供界面截图</w:t>
            </w:r>
          </w:p>
          <w:p w14:paraId="0FBB9ACE">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病例上传</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可实现DICOM数据解析，并自动填入数据模板，提供界面截图</w:t>
            </w:r>
          </w:p>
          <w:p w14:paraId="2E5CD361">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结构化报告</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按照结构化对病人相关信息进行自动化分类及填写，提供界面截图</w:t>
            </w:r>
          </w:p>
          <w:p w14:paraId="5F3BC5A9">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随访记录</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支持随访记录的添加并自动管理影像，并提供界面截图</w:t>
            </w:r>
          </w:p>
          <w:p w14:paraId="15DB8EE2">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p>
          <w:p w14:paraId="0FA9479E">
            <w:pPr>
              <w:pStyle w:val="3"/>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bidi="ar"/>
              </w:rPr>
              <w:t>晨会系统演讲端</w:t>
            </w:r>
          </w:p>
          <w:p w14:paraId="5307AE3A">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10.3.1、</w:t>
            </w:r>
            <w:r>
              <w:rPr>
                <w:rFonts w:hint="eastAsia" w:ascii="宋体" w:hAnsi="宋体" w:eastAsia="宋体" w:cs="宋体"/>
                <w:sz w:val="24"/>
                <w:szCs w:val="24"/>
                <w:highlight w:val="none"/>
              </w:rPr>
              <w:t>演讲账户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支持演讲台专属账户，便于快速开始读片讨论 </w:t>
            </w:r>
          </w:p>
          <w:p w14:paraId="296ACDD5">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10.3.</w:t>
            </w:r>
            <w:r>
              <w:rPr>
                <w:rFonts w:hint="eastAsia" w:ascii="宋体" w:hAnsi="宋体" w:eastAsia="宋体" w:cs="宋体"/>
                <w:sz w:val="24"/>
                <w:szCs w:val="24"/>
                <w:highlight w:val="none"/>
              </w:rPr>
              <w:t>2历史信息查询</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演讲端可浏览今日晨会数量、本年晨会、本月累计晨会和日期时间等基本信息。提供软件截图</w:t>
            </w:r>
          </w:p>
          <w:p w14:paraId="17AC3000">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10.3.</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晨会管理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演讲端可浏览今日晨会的基本信息，包括晨会主题、主讲人和晨会类型等</w:t>
            </w:r>
          </w:p>
          <w:p w14:paraId="6D3E7361">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晨会演示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演讲端可演示所有准备完成的晨会</w:t>
            </w:r>
          </w:p>
          <w:p w14:paraId="6E56C10C">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1DA2EFFE">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十</w:t>
            </w:r>
            <w:r>
              <w:rPr>
                <w:rFonts w:hint="eastAsia" w:ascii="宋体" w:hAnsi="宋体" w:eastAsia="宋体" w:cs="宋体"/>
                <w:b/>
                <w:bCs/>
                <w:sz w:val="24"/>
                <w:szCs w:val="24"/>
                <w:highlight w:val="none"/>
                <w:lang w:val="en-US" w:eastAsia="zh-CN"/>
              </w:rPr>
              <w:t>二、影像质量管理系统（17套）</w:t>
            </w:r>
          </w:p>
          <w:p w14:paraId="17E1D6F0">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质控方式</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智能化专业显示器质量保证系统，兼具本地质量监测的功能</w:t>
            </w:r>
          </w:p>
          <w:p w14:paraId="0FBB4D49">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性能监测</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性能检测模块可对显示器进行专业的性能检测，以判别当前显示器是否符合医用DICOM诊断标准</w:t>
            </w:r>
          </w:p>
          <w:p w14:paraId="1010ADC8">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视觉监测模块</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常规视觉检测模块用于对显示器进行专业的视觉检测，可以选择AAPM、DIN、IEC标准下的检测图片，通过查看成像效果，判断当前显示器是否符合医用DICOM诊断标准</w:t>
            </w:r>
          </w:p>
          <w:p w14:paraId="0AD3C0BD">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均匀性检测</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均匀性检测主要用于对显示器进行专业的屏幕亮度均匀性检测</w:t>
            </w:r>
          </w:p>
          <w:p w14:paraId="0453BA57">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DICOM校准</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DICOM校准用于对显示器的DICOM曲线进行标准型校准，并可以对显示器的传感器进行标定，对显示器的色温和亮度进行标准型校准</w:t>
            </w:r>
          </w:p>
          <w:p w14:paraId="5AB58017">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周期设置</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可设置计划任务，选择检测项目，定时为显示器做检测</w:t>
            </w:r>
          </w:p>
          <w:p w14:paraId="7473F63A">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报告管理</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检测报告可以通过预设邮件发送给管理者。提供软件截图</w:t>
            </w:r>
          </w:p>
          <w:p w14:paraId="578C1A01">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定位查询</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可以根据查询条件进行查询报告结果，检索条件包括可以输入的显示器型号、SN、操作人，也包括可以选择的检查类型、检测标准、检测结果、以及显示器类型，还可以通过日期范围来进行时间段内的报告查询</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提供软件截图</w:t>
            </w:r>
          </w:p>
          <w:p w14:paraId="7F9E1FBC">
            <w:pPr>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9</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报告导出</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可以根据查询结果导出不可变更的报告</w:t>
            </w:r>
          </w:p>
          <w:p w14:paraId="7CDF696F">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4E588D9A">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十三、医用影像电子指示笔功能软件（1套）</w:t>
            </w:r>
          </w:p>
          <w:p w14:paraId="60C6DDF5">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安装方式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嵌入式安装</w:t>
            </w:r>
          </w:p>
          <w:p w14:paraId="59763398">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控制方式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外设、遥控控制</w:t>
            </w:r>
          </w:p>
          <w:p w14:paraId="195A1E85">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开关</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通过按键或开关打开，可远程指示位置，用于示教管理</w:t>
            </w:r>
          </w:p>
          <w:p w14:paraId="53C3544E">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激光原理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非标准漫反射</w:t>
            </w:r>
          </w:p>
          <w:p w14:paraId="6E4F1FA5">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45AAE56C">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十四、内外网一键切换控制软件（1套）</w:t>
            </w:r>
          </w:p>
          <w:p w14:paraId="6AFE304E">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14.1、基本要求：支持一键打开信号通道切换功能,一键切换内外网工作站医疗影像信息，在会诊显示中心上显示</w:t>
            </w:r>
          </w:p>
          <w:p w14:paraId="0B5508F5">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0632794E">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十五、胶片直投脱机软件（1套）</w:t>
            </w:r>
          </w:p>
          <w:p w14:paraId="3DCD655A">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15.1、</w:t>
            </w:r>
            <w:r>
              <w:rPr>
                <w:rFonts w:hint="eastAsia" w:ascii="宋体" w:hAnsi="宋体" w:eastAsia="宋体" w:cs="宋体"/>
                <w:sz w:val="24"/>
                <w:szCs w:val="24"/>
                <w:highlight w:val="none"/>
              </w:rPr>
              <w:t>DICOM校准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t>胶片直投具有DICOM校准功能，保证采集的胶片影像资料精准显示</w:t>
            </w:r>
          </w:p>
          <w:p w14:paraId="65CD5E13">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15.2、安装放方式 嵌入式安装</w:t>
            </w:r>
          </w:p>
          <w:p w14:paraId="01863102">
            <w:pPr>
              <w:pageBreakBefore w:val="0"/>
              <w:widowControl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i w:val="0"/>
                <w:iCs w:val="0"/>
                <w:color w:val="000000"/>
                <w:kern w:val="0"/>
                <w:sz w:val="24"/>
                <w:szCs w:val="24"/>
                <w:highlight w:val="none"/>
                <w:u w:val="none"/>
                <w:lang w:val="en-US" w:eastAsia="zh-CN" w:bidi="ar"/>
              </w:rPr>
            </w:pPr>
          </w:p>
          <w:p w14:paraId="0FDB780F">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十六、无损交互应用控制系统（1套）</w:t>
            </w:r>
          </w:p>
          <w:p w14:paraId="2A244602">
            <w:pPr>
              <w:pStyle w:val="3"/>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eastAsia="宋体" w:cs="宋体"/>
                <w:sz w:val="24"/>
                <w:szCs w:val="24"/>
                <w:highlight w:val="none"/>
              </w:rPr>
              <w:t>移动控制终端1套</w:t>
            </w:r>
          </w:p>
          <w:p w14:paraId="73AEF0F9">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16.1.1、性能要求：平板，系统支持安卓、苹果或WINDOWS</w:t>
            </w:r>
          </w:p>
          <w:p w14:paraId="3E49811C">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16.1.2、处理器：990及以上、八核；尺寸：≥10.8英寸</w:t>
            </w:r>
          </w:p>
          <w:p w14:paraId="6B737140">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16.1.3、系统内存≥6GB</w:t>
            </w:r>
          </w:p>
          <w:p w14:paraId="0AB63D21">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16.1.4、存储≥128G</w:t>
            </w:r>
          </w:p>
          <w:p w14:paraId="38C4E8BB">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16.1.5、分辨率≥2560*1600</w:t>
            </w:r>
          </w:p>
          <w:p w14:paraId="4B477144">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16.1.6、电源：聚合物锂电池≥7150毫安</w:t>
            </w:r>
          </w:p>
          <w:p w14:paraId="1AE0B70B">
            <w:pPr>
              <w:pStyle w:val="3"/>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z w:val="24"/>
                <w:szCs w:val="24"/>
                <w:highlight w:val="none"/>
              </w:rPr>
            </w:pPr>
            <w:bookmarkStart w:id="25" w:name="_Toc149310420"/>
            <w:bookmarkStart w:id="26" w:name="_Toc3794"/>
            <w:bookmarkStart w:id="27" w:name="_Toc135933434"/>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.2、影像中心管理软件</w:t>
            </w:r>
            <w:bookmarkEnd w:id="25"/>
            <w:bookmarkEnd w:id="26"/>
            <w:bookmarkEnd w:id="27"/>
            <w:r>
              <w:rPr>
                <w:rFonts w:hint="eastAsia" w:ascii="宋体" w:hAnsi="宋体" w:eastAsia="宋体" w:cs="宋体"/>
                <w:sz w:val="24"/>
                <w:szCs w:val="24"/>
                <w:highlight w:val="none"/>
              </w:rPr>
              <w:t>1套</w:t>
            </w:r>
          </w:p>
          <w:p w14:paraId="20956A3A">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16.2.1、布局管理：系统软件可进行会诊屏布局的管理，可支持会诊屏的单屏、双屏、三屏、四屏显示，且支持多种布局模式的快速调用，需提供软件界面截图。</w:t>
            </w:r>
          </w:p>
          <w:p w14:paraId="1EBA338E">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16.2.2、信号管理：系统可接入多路信号源，至少应包括1台工作站、1路远程视频信号、无线投屏信号以及电子讲台信号；系统可输出超高清信号＞1路，系统并具有升级的能力。</w:t>
            </w:r>
          </w:p>
          <w:p w14:paraId="5E417C98">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16.2.3、分辨率自适应：系统支持分辨率自适应功能，根据信号源的分辨率自动调节会诊屏端显示影像的分辨率及图像长宽比例，确保所投画面分辨率不变，显示比例不变</w:t>
            </w:r>
          </w:p>
          <w:p w14:paraId="3D801CFB">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16.2.4、影像投射：可通过智能控制终端快速将接入系统的影像内容投射到会诊屏上，并可通过智能控制终端切换会诊屏的画面布局和显示的画面内容</w:t>
            </w:r>
          </w:p>
          <w:p w14:paraId="6DA91516">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p>
          <w:p w14:paraId="1BA4B09C">
            <w:pPr>
              <w:pStyle w:val="3"/>
              <w:numPr>
                <w:ilvl w:val="0"/>
                <w:numId w:val="0"/>
              </w:numPr>
              <w:bidi w:val="0"/>
              <w:ind w:right="1050" w:right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十七、无线投屏系统（1套）</w:t>
            </w:r>
          </w:p>
          <w:p w14:paraId="3F71403C">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rPr>
            </w:pPr>
            <w:bookmarkStart w:id="28" w:name="_Toc149310416"/>
            <w:bookmarkStart w:id="29" w:name="_Toc8990"/>
            <w:bookmarkStart w:id="30" w:name="_Toc135933425"/>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.1、无线投屏主机</w:t>
            </w:r>
            <w:bookmarkEnd w:id="28"/>
            <w:bookmarkEnd w:id="29"/>
            <w:bookmarkEnd w:id="30"/>
            <w:r>
              <w:rPr>
                <w:rFonts w:hint="eastAsia" w:ascii="宋体" w:hAnsi="宋体" w:eastAsia="宋体" w:cs="宋体"/>
                <w:sz w:val="24"/>
                <w:szCs w:val="24"/>
                <w:highlight w:val="none"/>
              </w:rPr>
              <w:t>1个</w:t>
            </w:r>
          </w:p>
          <w:p w14:paraId="112C2181">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17.1.1、操作方式：系统设有专用投屏互动AP，手机、平板、笔记本电脑等无线移动设备均可在连入AP后，将屏幕内容共享至并轨会诊显示屏上</w:t>
            </w:r>
          </w:p>
          <w:p w14:paraId="0A95D0CC">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17.1.2、控制方式：支持双向控制，投射至会诊显示终端后，可通过会诊屏的触摸功直接对所投内容进行操作（调阅文件、PPT翻页等）</w:t>
            </w:r>
          </w:p>
          <w:p w14:paraId="1B074846">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17.1.3、白板功能：支持白板功能，可针对所投内容进行标注，并将标注内容进行保存</w:t>
            </w:r>
          </w:p>
          <w:p w14:paraId="77BE6ACF">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17.1.4、画面容量：无线投屏最多可同时连接并显示≥2路画面</w:t>
            </w:r>
          </w:p>
          <w:p w14:paraId="2BF53DA5">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17.1.5、支持协议：无线投射支持Airplay,Miracast、DLNA，并支持Mirror0p应用</w:t>
            </w:r>
          </w:p>
          <w:p w14:paraId="47DA62AB">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17.1.6、工作模式：演示系统支持多种工作模式：独立工作模式、网络集成方式及混合方式</w:t>
            </w:r>
          </w:p>
          <w:p w14:paraId="45E100BB">
            <w:pPr>
              <w:pStyle w:val="3"/>
              <w:pageBreakBefore w:val="0"/>
              <w:widowControl w:val="0"/>
              <w:kinsoku/>
              <w:wordWrap/>
              <w:overflowPunct/>
              <w:topLinePunct w:val="0"/>
              <w:autoSpaceDE/>
              <w:autoSpaceDN/>
              <w:bidi w:val="0"/>
              <w:spacing w:after="0" w:line="240" w:lineRule="auto"/>
              <w:ind w:left="0" w:leftChars="0" w:firstLine="0" w:firstLineChars="0"/>
              <w:textAlignment w:val="auto"/>
              <w:rPr>
                <w:rFonts w:hint="eastAsia" w:ascii="宋体" w:hAnsi="宋体" w:eastAsia="宋体" w:cs="宋体"/>
                <w:sz w:val="24"/>
                <w:szCs w:val="24"/>
                <w:highlight w:val="none"/>
                <w:lang w:eastAsia="zh-CN"/>
              </w:rPr>
            </w:pPr>
            <w:bookmarkStart w:id="31" w:name="_Toc135933426"/>
            <w:bookmarkStart w:id="32" w:name="_Toc149310417"/>
            <w:bookmarkStart w:id="33" w:name="_Toc931"/>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.2、无线投屏发射器</w:t>
            </w:r>
            <w:bookmarkEnd w:id="31"/>
            <w:bookmarkEnd w:id="32"/>
            <w:bookmarkEnd w:id="33"/>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2个</w:t>
            </w:r>
            <w:r>
              <w:rPr>
                <w:rFonts w:hint="eastAsia" w:ascii="宋体" w:hAnsi="宋体" w:eastAsia="宋体" w:cs="宋体"/>
                <w:sz w:val="24"/>
                <w:szCs w:val="24"/>
                <w:highlight w:val="none"/>
                <w:lang w:eastAsia="zh-CN"/>
              </w:rPr>
              <w:t>）</w:t>
            </w:r>
          </w:p>
          <w:p w14:paraId="1095D392">
            <w:pPr>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17.2.1、驱动形式：可以通过单击物理按钮实现无线传输及各用户的全屏、分屏显示模式之间的切换，且无需安装任何驱动软件。</w:t>
            </w:r>
          </w:p>
          <w:p w14:paraId="4B98A5C7">
            <w:pPr>
              <w:pageBreakBefore w:val="0"/>
              <w:widowControl w:val="0"/>
              <w:kinsoku/>
              <w:wordWrap/>
              <w:overflowPunct/>
              <w:topLinePunct w:val="0"/>
              <w:autoSpaceDE/>
              <w:autoSpaceDN/>
              <w:bidi w:val="0"/>
              <w:spacing w:line="240" w:lineRule="auto"/>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17.2.2、连接方式：连接方式USB接口，免驱动</w:t>
            </w:r>
          </w:p>
        </w:tc>
        <w:tc>
          <w:tcPr>
            <w:tcW w:w="2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DC369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7E895D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356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779A1549">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C9D75">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60F5B044">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96E85C">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CC2085">
            <w:pPr>
              <w:jc w:val="center"/>
              <w:rPr>
                <w:rFonts w:hint="eastAsia" w:ascii="宋体" w:hAnsi="宋体" w:eastAsia="宋体" w:cs="宋体"/>
                <w:i w:val="0"/>
                <w:iCs w:val="0"/>
                <w:color w:val="000000"/>
                <w:sz w:val="24"/>
                <w:szCs w:val="24"/>
                <w:highlight w:val="none"/>
                <w:u w:val="none"/>
              </w:rPr>
            </w:pPr>
          </w:p>
        </w:tc>
      </w:tr>
      <w:tr w14:paraId="478E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36F61FE9">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762B7">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72EE95D9">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49163D">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0A0F79">
            <w:pPr>
              <w:jc w:val="center"/>
              <w:rPr>
                <w:rFonts w:hint="eastAsia" w:ascii="宋体" w:hAnsi="宋体" w:eastAsia="宋体" w:cs="宋体"/>
                <w:i w:val="0"/>
                <w:iCs w:val="0"/>
                <w:color w:val="000000"/>
                <w:sz w:val="24"/>
                <w:szCs w:val="24"/>
                <w:highlight w:val="none"/>
                <w:u w:val="none"/>
              </w:rPr>
            </w:pPr>
          </w:p>
        </w:tc>
      </w:tr>
      <w:tr w14:paraId="5DF0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531D71C9">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6BE387">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4F869876">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20AA63">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6CB6A">
            <w:pPr>
              <w:jc w:val="center"/>
              <w:rPr>
                <w:rFonts w:hint="eastAsia" w:ascii="宋体" w:hAnsi="宋体" w:eastAsia="宋体" w:cs="宋体"/>
                <w:i w:val="0"/>
                <w:iCs w:val="0"/>
                <w:color w:val="000000"/>
                <w:sz w:val="24"/>
                <w:szCs w:val="24"/>
                <w:highlight w:val="none"/>
                <w:u w:val="none"/>
              </w:rPr>
            </w:pPr>
          </w:p>
        </w:tc>
      </w:tr>
      <w:tr w14:paraId="16F0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48325D2B">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CE8A0E">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6F98DE8F">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769342">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4914A">
            <w:pPr>
              <w:jc w:val="center"/>
              <w:rPr>
                <w:rFonts w:hint="eastAsia" w:ascii="宋体" w:hAnsi="宋体" w:eastAsia="宋体" w:cs="宋体"/>
                <w:i w:val="0"/>
                <w:iCs w:val="0"/>
                <w:color w:val="000000"/>
                <w:sz w:val="24"/>
                <w:szCs w:val="24"/>
                <w:highlight w:val="none"/>
                <w:u w:val="none"/>
              </w:rPr>
            </w:pPr>
          </w:p>
        </w:tc>
      </w:tr>
      <w:tr w14:paraId="3C7C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551" w:type="dxa"/>
            <w:vMerge w:val="restart"/>
            <w:tcBorders>
              <w:top w:val="single" w:color="000000" w:sz="4" w:space="0"/>
              <w:left w:val="single" w:color="000000" w:sz="4" w:space="0"/>
              <w:bottom w:val="single" w:color="000000" w:sz="4" w:space="0"/>
              <w:right w:val="single" w:color="000000" w:sz="4" w:space="0"/>
            </w:tcBorders>
            <w:noWrap/>
            <w:vAlign w:val="center"/>
          </w:tcPr>
          <w:p w14:paraId="7070B63C">
            <w:pPr>
              <w:keepNext w:val="0"/>
              <w:keepLines w:val="0"/>
              <w:widowControl/>
              <w:suppressLineNumbers w:val="0"/>
              <w:jc w:val="center"/>
              <w:textAlignment w:val="center"/>
              <w:rPr>
                <w:rFonts w:hint="eastAsia" w:ascii="宋体" w:hAnsi="宋体" w:eastAsia="宋体" w:cs="宋体"/>
                <w:i w:val="0"/>
                <w:iCs w:val="0"/>
                <w:color w:val="000000"/>
                <w:sz w:val="24"/>
                <w:szCs w:val="24"/>
                <w:highlight w:val="green"/>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58AE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数字减影血管造影系统（DSA）</w:t>
            </w:r>
          </w:p>
          <w:p w14:paraId="52C11DD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（核心产品）</w:t>
            </w:r>
          </w:p>
        </w:tc>
        <w:tc>
          <w:tcPr>
            <w:tcW w:w="6850" w:type="dxa"/>
            <w:vMerge w:val="restart"/>
            <w:tcBorders>
              <w:top w:val="single" w:color="000000" w:sz="4" w:space="0"/>
              <w:left w:val="single" w:color="000000" w:sz="4" w:space="0"/>
              <w:bottom w:val="single" w:color="000000" w:sz="4" w:space="0"/>
              <w:right w:val="single" w:color="000000" w:sz="4" w:space="0"/>
            </w:tcBorders>
            <w:noWrap w:val="0"/>
            <w:vAlign w:val="top"/>
          </w:tcPr>
          <w:p w14:paraId="43D40DD0">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设备用途：心、脑、全身血管造影，介入治疗。</w:t>
            </w:r>
          </w:p>
          <w:p w14:paraId="1E4C3340">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技术要求：</w:t>
            </w:r>
          </w:p>
          <w:p w14:paraId="510FEECE">
            <w:pPr>
              <w:keepNext w:val="0"/>
              <w:keepLines w:val="0"/>
              <w:widowControl/>
              <w:numPr>
                <w:ilvl w:val="0"/>
                <w:numId w:val="24"/>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机架系统：</w:t>
            </w:r>
          </w:p>
          <w:p w14:paraId="50E6E94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1.1满足心、脑、周围血管的造影和介入治疗需要。落地式机架，能覆盖全身之功能。 </w:t>
            </w:r>
          </w:p>
          <w:p w14:paraId="6821571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1.2机架可进行等中心旋转。机架运动包括电动和手动两种方式。</w:t>
            </w:r>
          </w:p>
          <w:p w14:paraId="2B1260F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1.3 </w:t>
            </w:r>
            <w:r>
              <w:rPr>
                <w:rFonts w:hint="eastAsia" w:ascii="宋体" w:hAnsi="宋体" w:eastAsia="宋体" w:cs="宋体"/>
                <w:i w:val="0"/>
                <w:iCs w:val="0"/>
                <w:color w:val="000000"/>
                <w:kern w:val="0"/>
                <w:sz w:val="24"/>
                <w:szCs w:val="24"/>
                <w:highlight w:val="none"/>
                <w:u w:val="none"/>
                <w:lang w:val="en-US" w:eastAsia="zh-CN" w:bidi="ar"/>
              </w:rPr>
              <w:t>C型臂旋转速度≥18°/秒。</w:t>
            </w:r>
          </w:p>
          <w:p w14:paraId="746E843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1.4 </w:t>
            </w:r>
            <w:r>
              <w:rPr>
                <w:rFonts w:hint="eastAsia" w:ascii="宋体" w:hAnsi="宋体" w:eastAsia="宋体" w:cs="宋体"/>
                <w:i w:val="0"/>
                <w:iCs w:val="0"/>
                <w:color w:val="000000"/>
                <w:kern w:val="0"/>
                <w:sz w:val="24"/>
                <w:szCs w:val="24"/>
                <w:highlight w:val="none"/>
                <w:u w:val="none"/>
                <w:lang w:val="en-US" w:eastAsia="zh-CN" w:bidi="ar"/>
              </w:rPr>
              <w:t>C型臂环内滑动速度≥18°/秒。</w:t>
            </w:r>
          </w:p>
          <w:p w14:paraId="17BE9EA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1.5 </w:t>
            </w:r>
            <w:r>
              <w:rPr>
                <w:rFonts w:hint="eastAsia" w:ascii="宋体" w:hAnsi="宋体" w:eastAsia="宋体" w:cs="宋体"/>
                <w:i w:val="0"/>
                <w:iCs w:val="0"/>
                <w:color w:val="000000"/>
                <w:kern w:val="0"/>
                <w:sz w:val="24"/>
                <w:szCs w:val="24"/>
                <w:highlight w:val="none"/>
                <w:u w:val="none"/>
                <w:lang w:val="en-US" w:eastAsia="zh-CN" w:bidi="ar"/>
              </w:rPr>
              <w:t>CRA≥45°。</w:t>
            </w:r>
          </w:p>
          <w:p w14:paraId="49754A8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1.6 </w:t>
            </w:r>
            <w:r>
              <w:rPr>
                <w:rFonts w:hint="eastAsia" w:ascii="宋体" w:hAnsi="宋体" w:eastAsia="宋体" w:cs="宋体"/>
                <w:i w:val="0"/>
                <w:iCs w:val="0"/>
                <w:color w:val="000000"/>
                <w:kern w:val="0"/>
                <w:sz w:val="24"/>
                <w:szCs w:val="24"/>
                <w:highlight w:val="none"/>
                <w:u w:val="none"/>
                <w:lang w:val="en-US" w:eastAsia="zh-CN" w:bidi="ar"/>
              </w:rPr>
              <w:t>CAU≥45°。</w:t>
            </w:r>
          </w:p>
          <w:p w14:paraId="6D0AC83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1.7 </w:t>
            </w:r>
            <w:r>
              <w:rPr>
                <w:rFonts w:hint="eastAsia" w:ascii="宋体" w:hAnsi="宋体" w:eastAsia="宋体" w:cs="宋体"/>
                <w:i w:val="0"/>
                <w:iCs w:val="0"/>
                <w:color w:val="000000"/>
                <w:kern w:val="0"/>
                <w:sz w:val="24"/>
                <w:szCs w:val="24"/>
                <w:highlight w:val="none"/>
                <w:u w:val="none"/>
                <w:lang w:val="en-US" w:eastAsia="zh-CN" w:bidi="ar"/>
              </w:rPr>
              <w:t>RAO≥95°。</w:t>
            </w:r>
          </w:p>
          <w:p w14:paraId="14A6238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1.8 </w:t>
            </w:r>
            <w:r>
              <w:rPr>
                <w:rFonts w:hint="eastAsia" w:ascii="宋体" w:hAnsi="宋体" w:eastAsia="宋体" w:cs="宋体"/>
                <w:i w:val="0"/>
                <w:iCs w:val="0"/>
                <w:color w:val="000000"/>
                <w:kern w:val="0"/>
                <w:sz w:val="24"/>
                <w:szCs w:val="24"/>
                <w:highlight w:val="none"/>
                <w:u w:val="none"/>
                <w:lang w:val="en-US" w:eastAsia="zh-CN" w:bidi="ar"/>
              </w:rPr>
              <w:t>LAO≥95°。</w:t>
            </w:r>
          </w:p>
          <w:p w14:paraId="41371C0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1.9</w:t>
            </w:r>
            <w:r>
              <w:rPr>
                <w:rFonts w:hint="eastAsia" w:ascii="宋体" w:hAnsi="宋体" w:eastAsia="宋体" w:cs="宋体"/>
                <w:i w:val="0"/>
                <w:iCs w:val="0"/>
                <w:color w:val="000000"/>
                <w:kern w:val="0"/>
                <w:sz w:val="24"/>
                <w:szCs w:val="24"/>
                <w:highlight w:val="none"/>
                <w:u w:val="none"/>
                <w:lang w:val="en-US" w:eastAsia="zh-CN" w:bidi="ar"/>
              </w:rPr>
              <w:t>旋转采集角度≥2</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0°。</w:t>
            </w:r>
          </w:p>
          <w:p w14:paraId="1027843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10</w:t>
            </w:r>
            <w:r>
              <w:rPr>
                <w:rFonts w:hint="eastAsia" w:ascii="宋体" w:hAnsi="宋体" w:eastAsia="宋体" w:cs="宋体"/>
                <w:i w:val="0"/>
                <w:iCs w:val="0"/>
                <w:color w:val="000000"/>
                <w:kern w:val="0"/>
                <w:sz w:val="24"/>
                <w:szCs w:val="24"/>
                <w:highlight w:val="none"/>
                <w:u w:val="none"/>
                <w:lang w:val="en-US" w:eastAsia="zh-CN" w:bidi="ar"/>
              </w:rPr>
              <w:t>床旁可以单手柄控制、操作C型臂机架的运动。</w:t>
            </w:r>
          </w:p>
          <w:p w14:paraId="111478D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1.11 </w:t>
            </w:r>
            <w:r>
              <w:rPr>
                <w:rFonts w:hint="eastAsia" w:ascii="宋体" w:hAnsi="宋体" w:eastAsia="宋体" w:cs="宋体"/>
                <w:i w:val="0"/>
                <w:iCs w:val="0"/>
                <w:color w:val="000000"/>
                <w:kern w:val="0"/>
                <w:sz w:val="24"/>
                <w:szCs w:val="24"/>
                <w:highlight w:val="none"/>
                <w:u w:val="none"/>
                <w:lang w:val="en-US" w:eastAsia="zh-CN" w:bidi="ar"/>
              </w:rPr>
              <w:t>C臂的旋转角度：血管检查摆位无死角，C臂旋转至任何角度均可投照。</w:t>
            </w:r>
          </w:p>
          <w:p w14:paraId="65D67F5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1.12</w:t>
            </w:r>
            <w:r>
              <w:rPr>
                <w:rFonts w:hint="eastAsia" w:ascii="宋体" w:hAnsi="宋体" w:eastAsia="宋体" w:cs="宋体"/>
                <w:i w:val="0"/>
                <w:iCs w:val="0"/>
                <w:color w:val="000000"/>
                <w:kern w:val="0"/>
                <w:sz w:val="24"/>
                <w:szCs w:val="24"/>
                <w:highlight w:val="none"/>
                <w:u w:val="none"/>
                <w:lang w:val="en-US" w:eastAsia="zh-CN" w:bidi="ar"/>
              </w:rPr>
              <w:t>数码显示所有C型臂旋转角度信息。</w:t>
            </w:r>
          </w:p>
          <w:p w14:paraId="00019EC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1.13 </w:t>
            </w:r>
            <w:r>
              <w:rPr>
                <w:rFonts w:hint="eastAsia" w:ascii="宋体" w:hAnsi="宋体" w:eastAsia="宋体" w:cs="宋体"/>
                <w:i w:val="0"/>
                <w:iCs w:val="0"/>
                <w:color w:val="000000"/>
                <w:kern w:val="0"/>
                <w:sz w:val="24"/>
                <w:szCs w:val="24"/>
                <w:highlight w:val="none"/>
                <w:u w:val="none"/>
                <w:lang w:val="en-US" w:eastAsia="zh-CN" w:bidi="ar"/>
              </w:rPr>
              <w:t>C型臂在正头位，左或右侧工作位情况下：C型臂弧深≥90cm （不包括L臂补偿）。</w:t>
            </w:r>
          </w:p>
          <w:p w14:paraId="59CB2A6F">
            <w:pPr>
              <w:keepNext w:val="0"/>
              <w:keepLines w:val="0"/>
              <w:widowControl/>
              <w:numPr>
                <w:ilvl w:val="0"/>
                <w:numId w:val="0"/>
              </w:numPr>
              <w:suppressLineNumbers w:val="0"/>
              <w:jc w:val="left"/>
              <w:textAlignment w:val="top"/>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1.14</w:t>
            </w:r>
            <w:r>
              <w:rPr>
                <w:rFonts w:hint="eastAsia" w:ascii="宋体" w:hAnsi="宋体" w:eastAsia="宋体" w:cs="宋体"/>
                <w:i w:val="0"/>
                <w:iCs w:val="0"/>
                <w:color w:val="000000"/>
                <w:kern w:val="0"/>
                <w:sz w:val="24"/>
                <w:szCs w:val="24"/>
                <w:highlight w:val="none"/>
                <w:u w:val="none"/>
                <w:lang w:val="en-US" w:eastAsia="zh-CN" w:bidi="ar"/>
              </w:rPr>
              <w:t>机架可分别在头位、左侧位、右侧位进行透视和采集。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2、</w:t>
            </w:r>
          </w:p>
          <w:p w14:paraId="141452D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2.1</w:t>
            </w:r>
            <w:r>
              <w:rPr>
                <w:rFonts w:hint="eastAsia" w:ascii="宋体" w:hAnsi="宋体" w:eastAsia="宋体" w:cs="宋体"/>
                <w:i w:val="0"/>
                <w:iCs w:val="0"/>
                <w:color w:val="000000"/>
                <w:kern w:val="0"/>
                <w:sz w:val="24"/>
                <w:szCs w:val="24"/>
                <w:highlight w:val="none"/>
                <w:u w:val="none"/>
                <w:lang w:val="en-US" w:eastAsia="zh-CN" w:bidi="ar"/>
              </w:rPr>
              <w:t>导管床：满足全身检查、治疗的要求。床面要求为碳纤维材料。</w:t>
            </w:r>
          </w:p>
          <w:p w14:paraId="00BB13F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2.2</w:t>
            </w:r>
            <w:r>
              <w:rPr>
                <w:rFonts w:hint="eastAsia" w:ascii="宋体" w:hAnsi="宋体" w:eastAsia="宋体" w:cs="宋体"/>
                <w:i w:val="0"/>
                <w:iCs w:val="0"/>
                <w:color w:val="000000"/>
                <w:kern w:val="0"/>
                <w:sz w:val="24"/>
                <w:szCs w:val="24"/>
                <w:highlight w:val="none"/>
                <w:u w:val="none"/>
                <w:lang w:val="en-US" w:eastAsia="zh-CN" w:bidi="ar"/>
              </w:rPr>
              <w:t>纵向运动范围≥120cm</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导管床横向运动≥28cm。</w:t>
            </w:r>
          </w:p>
          <w:p w14:paraId="039A250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2.3</w:t>
            </w:r>
            <w:r>
              <w:rPr>
                <w:rFonts w:hint="eastAsia" w:ascii="宋体" w:hAnsi="宋体" w:eastAsia="宋体" w:cs="宋体"/>
                <w:i w:val="0"/>
                <w:iCs w:val="0"/>
                <w:color w:val="000000"/>
                <w:kern w:val="0"/>
                <w:sz w:val="24"/>
                <w:szCs w:val="24"/>
                <w:highlight w:val="none"/>
                <w:u w:val="none"/>
                <w:lang w:val="en-US" w:eastAsia="zh-CN" w:bidi="ar"/>
              </w:rPr>
              <w:t>床面升降范围≥28cm</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床面最低高度≤80cm。</w:t>
            </w:r>
          </w:p>
          <w:p w14:paraId="7AF6138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2.4</w:t>
            </w:r>
            <w:r>
              <w:rPr>
                <w:rFonts w:hint="eastAsia" w:ascii="宋体" w:hAnsi="宋体" w:eastAsia="宋体" w:cs="宋体"/>
                <w:i w:val="0"/>
                <w:iCs w:val="0"/>
                <w:color w:val="000000"/>
                <w:kern w:val="0"/>
                <w:sz w:val="24"/>
                <w:szCs w:val="24"/>
                <w:highlight w:val="none"/>
                <w:u w:val="none"/>
                <w:lang w:val="en-US" w:eastAsia="zh-CN" w:bidi="ar"/>
              </w:rPr>
              <w:t xml:space="preserve">任意位置承重≥250KG + 500N额外CPR承重 。 </w:t>
            </w:r>
          </w:p>
          <w:p w14:paraId="2B2F42C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2.5</w:t>
            </w:r>
            <w:r>
              <w:rPr>
                <w:rFonts w:hint="eastAsia" w:ascii="宋体" w:hAnsi="宋体" w:eastAsia="宋体" w:cs="宋体"/>
                <w:i w:val="0"/>
                <w:iCs w:val="0"/>
                <w:color w:val="000000"/>
                <w:kern w:val="0"/>
                <w:sz w:val="24"/>
                <w:szCs w:val="24"/>
                <w:highlight w:val="none"/>
                <w:u w:val="none"/>
                <w:lang w:val="en-US" w:eastAsia="zh-CN" w:bidi="ar"/>
              </w:rPr>
              <w:t>床身纵向运动伸出最远端时，无需回床即能在床面任意位置进行CPR，保障紧急情况下的安全。</w:t>
            </w:r>
          </w:p>
          <w:p w14:paraId="0DCCAA9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2.6</w:t>
            </w:r>
            <w:r>
              <w:rPr>
                <w:rFonts w:hint="eastAsia" w:ascii="宋体" w:hAnsi="宋体" w:eastAsia="宋体" w:cs="宋体"/>
                <w:i w:val="0"/>
                <w:iCs w:val="0"/>
                <w:color w:val="000000"/>
                <w:kern w:val="0"/>
                <w:sz w:val="24"/>
                <w:szCs w:val="24"/>
                <w:highlight w:val="none"/>
                <w:u w:val="none"/>
                <w:lang w:val="en-US" w:eastAsia="zh-CN" w:bidi="ar"/>
              </w:rPr>
              <w:t>床长度≥</w:t>
            </w:r>
            <w:r>
              <w:rPr>
                <w:rFonts w:hint="eastAsia" w:ascii="宋体" w:hAnsi="宋体" w:cs="宋体"/>
                <w:i w:val="0"/>
                <w:iCs w:val="0"/>
                <w:color w:val="000000"/>
                <w:kern w:val="0"/>
                <w:sz w:val="24"/>
                <w:szCs w:val="24"/>
                <w:highlight w:val="none"/>
                <w:u w:val="none"/>
                <w:lang w:val="en-US" w:eastAsia="zh-CN" w:bidi="ar"/>
              </w:rPr>
              <w:t>28</w:t>
            </w:r>
            <w:r>
              <w:rPr>
                <w:rFonts w:hint="eastAsia" w:ascii="宋体" w:hAnsi="宋体" w:eastAsia="宋体" w:cs="宋体"/>
                <w:i w:val="0"/>
                <w:iCs w:val="0"/>
                <w:color w:val="000000"/>
                <w:kern w:val="0"/>
                <w:sz w:val="24"/>
                <w:szCs w:val="24"/>
                <w:highlight w:val="none"/>
                <w:u w:val="none"/>
                <w:lang w:val="en-US" w:eastAsia="zh-CN" w:bidi="ar"/>
              </w:rPr>
              <w:t>0cm</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床宽度≥45cm</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床面旋转角度≥2</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0度。</w:t>
            </w:r>
          </w:p>
          <w:p w14:paraId="3D224E7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2.7</w:t>
            </w:r>
            <w:r>
              <w:rPr>
                <w:rFonts w:hint="eastAsia" w:ascii="宋体" w:hAnsi="宋体" w:eastAsia="宋体" w:cs="宋体"/>
                <w:i w:val="0"/>
                <w:iCs w:val="0"/>
                <w:color w:val="000000"/>
                <w:kern w:val="0"/>
                <w:sz w:val="24"/>
                <w:szCs w:val="24"/>
                <w:highlight w:val="none"/>
                <w:u w:val="none"/>
                <w:lang w:val="en-US" w:eastAsia="zh-CN" w:bidi="ar"/>
              </w:rPr>
              <w:t>导管床床垫、轨道夹及输液架，病人绑带以及线缆拖。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检查室内控制系统：</w:t>
            </w:r>
          </w:p>
          <w:p w14:paraId="2A1645F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3.1</w:t>
            </w:r>
            <w:r>
              <w:rPr>
                <w:rFonts w:hint="eastAsia" w:ascii="宋体" w:hAnsi="宋体" w:eastAsia="宋体" w:cs="宋体"/>
                <w:i w:val="0"/>
                <w:iCs w:val="0"/>
                <w:color w:val="000000"/>
                <w:kern w:val="0"/>
                <w:sz w:val="24"/>
                <w:szCs w:val="24"/>
                <w:highlight w:val="none"/>
                <w:u w:val="none"/>
                <w:lang w:val="en-US" w:eastAsia="zh-CN" w:bidi="ar"/>
              </w:rPr>
              <w:t>床旁液晶触摸屏控制系统。</w:t>
            </w:r>
          </w:p>
          <w:p w14:paraId="1221154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3.1.1</w:t>
            </w:r>
            <w:r>
              <w:rPr>
                <w:rFonts w:hint="eastAsia" w:ascii="宋体" w:hAnsi="宋体" w:eastAsia="宋体" w:cs="宋体"/>
                <w:i w:val="0"/>
                <w:iCs w:val="0"/>
                <w:color w:val="000000"/>
                <w:kern w:val="0"/>
                <w:sz w:val="24"/>
                <w:szCs w:val="24"/>
                <w:highlight w:val="none"/>
                <w:u w:val="none"/>
                <w:lang w:val="en-US" w:eastAsia="zh-CN" w:bidi="ar"/>
              </w:rPr>
              <w:t>提供床旁一套液晶触摸控制屏。 控制屏可置于导管床3边，或者控制室内，便于医生操作。</w:t>
            </w:r>
          </w:p>
          <w:p w14:paraId="52BF00B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3.1.2</w:t>
            </w:r>
            <w:r>
              <w:rPr>
                <w:rFonts w:hint="eastAsia" w:ascii="宋体" w:hAnsi="宋体" w:eastAsia="宋体" w:cs="宋体"/>
                <w:i w:val="0"/>
                <w:iCs w:val="0"/>
                <w:color w:val="000000"/>
                <w:kern w:val="0"/>
                <w:sz w:val="24"/>
                <w:szCs w:val="24"/>
                <w:highlight w:val="none"/>
                <w:u w:val="none"/>
                <w:lang w:val="en-US" w:eastAsia="zh-CN" w:bidi="ar"/>
              </w:rPr>
              <w:t>可进行图像采集条件控制。可进行图像后处理及量化分析控制。可完成程序卡片操作，包括采集协议。程序卡片可自行定义和存储。</w:t>
            </w:r>
          </w:p>
          <w:p w14:paraId="4679BCB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3.1.3</w:t>
            </w:r>
            <w:r>
              <w:rPr>
                <w:rFonts w:hint="eastAsia" w:ascii="宋体" w:hAnsi="宋体" w:eastAsia="宋体" w:cs="宋体"/>
                <w:i w:val="0"/>
                <w:iCs w:val="0"/>
                <w:color w:val="000000"/>
                <w:kern w:val="0"/>
                <w:sz w:val="24"/>
                <w:szCs w:val="24"/>
                <w:highlight w:val="none"/>
                <w:u w:val="none"/>
                <w:lang w:val="en-US" w:eastAsia="zh-CN" w:bidi="ar"/>
              </w:rPr>
              <w:t>程序卡片包括常用协议，默认协议，和特殊协议方便用户选择。程序卡片可定义手术，使用人或使用科室等类别</w:t>
            </w:r>
          </w:p>
          <w:p w14:paraId="00BF1C2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3.1.4</w:t>
            </w:r>
            <w:r>
              <w:rPr>
                <w:rFonts w:hint="eastAsia" w:ascii="宋体" w:hAnsi="宋体" w:eastAsia="宋体" w:cs="宋体"/>
                <w:i w:val="0"/>
                <w:iCs w:val="0"/>
                <w:color w:val="000000"/>
                <w:kern w:val="0"/>
                <w:sz w:val="24"/>
                <w:szCs w:val="24"/>
                <w:highlight w:val="none"/>
                <w:u w:val="none"/>
                <w:lang w:val="en-US" w:eastAsia="zh-CN" w:bidi="ar"/>
              </w:rPr>
              <w:t>可通过RIS/CIS/PACS等编码自动选择正确的程序卡片。床和机架锁定控制。X线的使能控制。透视蜂鸣器复位。遥控器功能。序列选择和图像选择。检查循环播放和序列循环播放。浏览速度。序列纵览和检查纵览。激光灯指示。选择参考图像并调用。参考屏图像浏览和采集序列处理。减影和蒙片选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控制室并行处理工作站：透视或曝光时可进行图像处理和存档浏览等工作，可独立运行。</w:t>
            </w:r>
          </w:p>
          <w:p w14:paraId="4D1EB80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4.1</w:t>
            </w:r>
            <w:r>
              <w:rPr>
                <w:rFonts w:hint="eastAsia" w:ascii="宋体" w:hAnsi="宋体" w:eastAsia="宋体" w:cs="宋体"/>
                <w:i w:val="0"/>
                <w:iCs w:val="0"/>
                <w:color w:val="000000"/>
                <w:kern w:val="0"/>
                <w:sz w:val="24"/>
                <w:szCs w:val="24"/>
                <w:highlight w:val="none"/>
                <w:u w:val="none"/>
                <w:lang w:val="en-US" w:eastAsia="zh-CN" w:bidi="ar"/>
              </w:rPr>
              <w:t>术中可执行像素位移和测量分析功能。可同时浏览两个序列。可同时处理不同病人的信息。准备下一个病人的信息输入。进行上一个病人的报告编写。进行QCA后，可立即与检查室分享。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4.2</w:t>
            </w:r>
            <w:r>
              <w:rPr>
                <w:rFonts w:hint="eastAsia" w:ascii="宋体" w:hAnsi="宋体" w:eastAsia="宋体" w:cs="宋体"/>
                <w:i w:val="0"/>
                <w:iCs w:val="0"/>
                <w:color w:val="000000"/>
                <w:kern w:val="0"/>
                <w:sz w:val="24"/>
                <w:szCs w:val="24"/>
                <w:highlight w:val="none"/>
                <w:u w:val="none"/>
                <w:lang w:val="en-US" w:eastAsia="zh-CN" w:bidi="ar"/>
              </w:rPr>
              <w:t>高压发生器：高频逆变发生器，功率≥100KW。最大管电流≥1000mA。 逆变频率≥100kHZ。</w:t>
            </w:r>
          </w:p>
          <w:p w14:paraId="6F0D615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4.2.1</w:t>
            </w:r>
            <w:r>
              <w:rPr>
                <w:rFonts w:hint="eastAsia" w:ascii="宋体" w:hAnsi="宋体" w:eastAsia="宋体" w:cs="宋体"/>
                <w:i w:val="0"/>
                <w:iCs w:val="0"/>
                <w:color w:val="000000"/>
                <w:kern w:val="0"/>
                <w:sz w:val="24"/>
                <w:szCs w:val="24"/>
                <w:highlight w:val="none"/>
                <w:u w:val="none"/>
                <w:lang w:val="en-US" w:eastAsia="zh-CN" w:bidi="ar"/>
              </w:rPr>
              <w:t>最小管电压：≤40KV</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最大管电压：≥125KV。</w:t>
            </w:r>
          </w:p>
          <w:p w14:paraId="006A6D9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4.3</w:t>
            </w:r>
            <w:r>
              <w:rPr>
                <w:rFonts w:hint="eastAsia" w:ascii="宋体" w:hAnsi="宋体" w:eastAsia="宋体" w:cs="宋体"/>
                <w:i w:val="0"/>
                <w:iCs w:val="0"/>
                <w:color w:val="000000"/>
                <w:kern w:val="0"/>
                <w:sz w:val="24"/>
                <w:szCs w:val="24"/>
                <w:highlight w:val="none"/>
                <w:u w:val="none"/>
                <w:lang w:val="en-US" w:eastAsia="zh-CN" w:bidi="ar"/>
              </w:rPr>
              <w:t>最短曝光时间≤1ms。自动SID跟踪。全自动曝光控制，无需测试曝光。</w:t>
            </w:r>
          </w:p>
          <w:p w14:paraId="74A5B01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 xml:space="preserve">4.4 </w:t>
            </w:r>
            <w:r>
              <w:rPr>
                <w:rFonts w:hint="eastAsia" w:ascii="宋体" w:hAnsi="宋体" w:eastAsia="宋体" w:cs="宋体"/>
                <w:i w:val="0"/>
                <w:iCs w:val="0"/>
                <w:color w:val="000000"/>
                <w:kern w:val="0"/>
                <w:sz w:val="24"/>
                <w:szCs w:val="24"/>
                <w:highlight w:val="none"/>
                <w:u w:val="none"/>
                <w:lang w:val="en-US" w:eastAsia="zh-CN" w:bidi="ar"/>
              </w:rPr>
              <w:t>X线球管</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球管阳极热容量（非等效）≥6.8MHU。</w:t>
            </w:r>
          </w:p>
          <w:p w14:paraId="3E3106F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4.4.1</w:t>
            </w:r>
            <w:r>
              <w:rPr>
                <w:rFonts w:hint="eastAsia" w:ascii="宋体" w:hAnsi="宋体" w:eastAsia="宋体" w:cs="宋体"/>
                <w:i w:val="0"/>
                <w:iCs w:val="0"/>
                <w:color w:val="000000"/>
                <w:kern w:val="0"/>
                <w:sz w:val="24"/>
                <w:szCs w:val="24"/>
                <w:highlight w:val="none"/>
                <w:u w:val="none"/>
                <w:lang w:val="en-US" w:eastAsia="zh-CN" w:bidi="ar"/>
              </w:rPr>
              <w:t>球管管套热容量≥9.4MHU。</w:t>
            </w:r>
          </w:p>
          <w:p w14:paraId="7674855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4.4.2</w:t>
            </w:r>
            <w:r>
              <w:rPr>
                <w:rFonts w:hint="eastAsia" w:ascii="宋体" w:hAnsi="宋体" w:eastAsia="宋体" w:cs="宋体"/>
                <w:i w:val="0"/>
                <w:iCs w:val="0"/>
                <w:color w:val="000000"/>
                <w:kern w:val="0"/>
                <w:sz w:val="24"/>
                <w:szCs w:val="24"/>
                <w:highlight w:val="none"/>
                <w:u w:val="none"/>
                <w:lang w:val="en-US" w:eastAsia="zh-CN" w:bidi="ar"/>
              </w:rPr>
              <w:t>最大阳极冷却速率≥1750kHU/min。</w:t>
            </w:r>
          </w:p>
          <w:p w14:paraId="3F74CC1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4.4.3</w:t>
            </w:r>
            <w:r>
              <w:rPr>
                <w:rFonts w:hint="eastAsia" w:ascii="宋体" w:hAnsi="宋体" w:eastAsia="宋体" w:cs="宋体"/>
                <w:i w:val="0"/>
                <w:iCs w:val="0"/>
                <w:color w:val="000000"/>
                <w:kern w:val="0"/>
                <w:sz w:val="24"/>
                <w:szCs w:val="24"/>
                <w:highlight w:val="none"/>
                <w:u w:val="none"/>
                <w:lang w:val="en-US" w:eastAsia="zh-CN" w:bidi="ar"/>
              </w:rPr>
              <w:t>球管阳极散热率≥16000 W：</w:t>
            </w:r>
          </w:p>
          <w:p w14:paraId="2F12EE4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4.4.4</w:t>
            </w:r>
            <w:r>
              <w:rPr>
                <w:rFonts w:hint="eastAsia" w:ascii="宋体" w:hAnsi="宋体" w:eastAsia="宋体" w:cs="宋体"/>
                <w:i w:val="0"/>
                <w:iCs w:val="0"/>
                <w:color w:val="000000"/>
                <w:kern w:val="0"/>
                <w:sz w:val="24"/>
                <w:szCs w:val="24"/>
                <w:highlight w:val="none"/>
                <w:u w:val="none"/>
                <w:lang w:val="en-US" w:eastAsia="zh-CN" w:bidi="ar"/>
              </w:rPr>
              <w:t>金属陶瓷外壳。液态金属轴承球管。</w:t>
            </w:r>
          </w:p>
          <w:p w14:paraId="6D418BE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4.4.5</w:t>
            </w:r>
            <w:r>
              <w:rPr>
                <w:rFonts w:hint="eastAsia" w:ascii="宋体" w:hAnsi="宋体" w:eastAsia="宋体" w:cs="宋体"/>
                <w:i w:val="0"/>
                <w:iCs w:val="0"/>
                <w:color w:val="000000"/>
                <w:kern w:val="0"/>
                <w:sz w:val="24"/>
                <w:szCs w:val="24"/>
                <w:highlight w:val="none"/>
                <w:u w:val="none"/>
                <w:lang w:val="en-US" w:eastAsia="zh-CN" w:bidi="ar"/>
              </w:rPr>
              <w:t>透视功率≥4500W。</w:t>
            </w:r>
          </w:p>
          <w:p w14:paraId="1420CC0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4.5</w:t>
            </w:r>
            <w:r>
              <w:rPr>
                <w:rFonts w:hint="eastAsia" w:ascii="宋体" w:hAnsi="宋体" w:eastAsia="宋体" w:cs="宋体"/>
                <w:i w:val="0"/>
                <w:iCs w:val="0"/>
                <w:color w:val="000000"/>
                <w:kern w:val="0"/>
                <w:sz w:val="24"/>
                <w:szCs w:val="24"/>
                <w:highlight w:val="none"/>
                <w:u w:val="none"/>
                <w:lang w:val="en-US" w:eastAsia="zh-CN" w:bidi="ar"/>
              </w:rPr>
              <w:t>球管阳极转速≥4200转/分钟。</w:t>
            </w:r>
          </w:p>
          <w:p w14:paraId="12260A1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4.6</w:t>
            </w:r>
            <w:r>
              <w:rPr>
                <w:rFonts w:hint="eastAsia" w:ascii="宋体" w:hAnsi="宋体" w:eastAsia="宋体" w:cs="宋体"/>
                <w:i w:val="0"/>
                <w:iCs w:val="0"/>
                <w:color w:val="000000"/>
                <w:kern w:val="0"/>
                <w:sz w:val="24"/>
                <w:szCs w:val="24"/>
                <w:highlight w:val="none"/>
                <w:u w:val="none"/>
                <w:lang w:val="en-US" w:eastAsia="zh-CN" w:bidi="ar"/>
              </w:rPr>
              <w:t>球管焦点为二个，小焦点≤0.4mm，大焦点≥0.7mm。</w:t>
            </w:r>
          </w:p>
          <w:p w14:paraId="4DE192F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最小焦点功率≥30kW，最大焦点功率≥65kW。</w:t>
            </w:r>
          </w:p>
          <w:p w14:paraId="38E8C7A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4.7</w:t>
            </w:r>
            <w:r>
              <w:rPr>
                <w:rFonts w:hint="eastAsia" w:ascii="宋体" w:hAnsi="宋体" w:eastAsia="宋体" w:cs="宋体"/>
                <w:i w:val="0"/>
                <w:iCs w:val="0"/>
                <w:color w:val="000000"/>
                <w:kern w:val="0"/>
                <w:sz w:val="24"/>
                <w:szCs w:val="24"/>
                <w:highlight w:val="none"/>
                <w:u w:val="none"/>
                <w:lang w:val="en-US" w:eastAsia="zh-CN" w:bidi="ar"/>
              </w:rPr>
              <w:t>球管阳极靶边直径≥200mm。</w:t>
            </w:r>
          </w:p>
          <w:p w14:paraId="30812BF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4.8</w:t>
            </w:r>
            <w:r>
              <w:rPr>
                <w:rFonts w:hint="eastAsia" w:ascii="宋体" w:hAnsi="宋体" w:eastAsia="宋体" w:cs="宋体"/>
                <w:i w:val="0"/>
                <w:iCs w:val="0"/>
                <w:color w:val="000000"/>
                <w:kern w:val="0"/>
                <w:sz w:val="24"/>
                <w:szCs w:val="24"/>
                <w:highlight w:val="none"/>
                <w:u w:val="none"/>
                <w:lang w:val="en-US" w:eastAsia="zh-CN" w:bidi="ar"/>
              </w:rPr>
              <w:t>球管采用直接油冷技术</w:t>
            </w:r>
            <w:r>
              <w:rPr>
                <w:rFonts w:hint="eastAsia" w:ascii="宋体" w:hAnsi="宋体" w:cs="宋体"/>
                <w:i w:val="0"/>
                <w:iCs w:val="0"/>
                <w:color w:val="000000"/>
                <w:kern w:val="0"/>
                <w:sz w:val="24"/>
                <w:szCs w:val="24"/>
                <w:highlight w:val="none"/>
                <w:u w:val="none"/>
                <w:lang w:val="en-US" w:eastAsia="zh-CN" w:bidi="ar"/>
              </w:rPr>
              <w:t>或水冷技术</w:t>
            </w:r>
            <w:r>
              <w:rPr>
                <w:rFonts w:hint="eastAsia" w:ascii="宋体" w:hAnsi="宋体" w:eastAsia="宋体" w:cs="宋体"/>
                <w:i w:val="0"/>
                <w:iCs w:val="0"/>
                <w:color w:val="000000"/>
                <w:kern w:val="0"/>
                <w:sz w:val="24"/>
                <w:szCs w:val="24"/>
                <w:highlight w:val="none"/>
                <w:u w:val="none"/>
                <w:lang w:val="en-US" w:eastAsia="zh-CN" w:bidi="ar"/>
              </w:rPr>
              <w:t>。</w:t>
            </w:r>
          </w:p>
          <w:p w14:paraId="29AEAE1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4.9</w:t>
            </w:r>
            <w:r>
              <w:rPr>
                <w:rFonts w:hint="eastAsia" w:ascii="宋体" w:hAnsi="宋体" w:eastAsia="宋体" w:cs="宋体"/>
                <w:i w:val="0"/>
                <w:iCs w:val="0"/>
                <w:color w:val="000000"/>
                <w:kern w:val="0"/>
                <w:sz w:val="24"/>
                <w:szCs w:val="24"/>
                <w:highlight w:val="none"/>
                <w:u w:val="none"/>
                <w:lang w:val="en-US" w:eastAsia="zh-CN" w:bidi="ar"/>
              </w:rPr>
              <w:t>球管内置栅控技术</w:t>
            </w:r>
            <w:r>
              <w:rPr>
                <w:rFonts w:hint="eastAsia" w:ascii="宋体" w:hAnsi="宋体" w:cs="宋体"/>
                <w:i w:val="0"/>
                <w:iCs w:val="0"/>
                <w:color w:val="000000"/>
                <w:kern w:val="0"/>
                <w:sz w:val="24"/>
                <w:szCs w:val="24"/>
                <w:highlight w:val="none"/>
                <w:u w:val="none"/>
                <w:lang w:val="en-US" w:eastAsia="zh-CN" w:bidi="ar"/>
              </w:rPr>
              <w:t>或</w:t>
            </w:r>
            <w:r>
              <w:rPr>
                <w:rFonts w:hint="eastAsia" w:ascii="宋体" w:hAnsi="宋体" w:eastAsia="宋体" w:cs="宋体"/>
                <w:i w:val="0"/>
                <w:iCs w:val="0"/>
                <w:color w:val="000000"/>
                <w:kern w:val="0"/>
                <w:sz w:val="24"/>
                <w:szCs w:val="24"/>
                <w:highlight w:val="none"/>
                <w:u w:val="none"/>
                <w:lang w:val="en-US" w:eastAsia="zh-CN" w:bidi="ar"/>
              </w:rPr>
              <w:t xml:space="preserve">高压发生器控制脉冲透视，以消除传统脉冲透视产生的软射线。球管内置多档金属铜滤片 </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配备通用型、虹膜型等多种遮光器。遮光器位置可存储。心脏介入手术中，半透明楔形挡板可根据投照角度自动定位。透视末帧图像上可实现无射线调节遮光板、滤线器位置。</w:t>
            </w:r>
          </w:p>
          <w:p w14:paraId="57AF7C6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4.10</w:t>
            </w:r>
            <w:r>
              <w:rPr>
                <w:rFonts w:hint="eastAsia" w:ascii="宋体" w:hAnsi="宋体" w:eastAsia="宋体" w:cs="宋体"/>
                <w:i w:val="0"/>
                <w:iCs w:val="0"/>
                <w:color w:val="000000"/>
                <w:kern w:val="0"/>
                <w:sz w:val="24"/>
                <w:szCs w:val="24"/>
                <w:highlight w:val="none"/>
                <w:u w:val="none"/>
                <w:lang w:val="en-US" w:eastAsia="zh-CN" w:bidi="ar"/>
              </w:rPr>
              <w:t>平板探测器</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探测器类型：≥16bits非晶硅数字化平板探测器。</w:t>
            </w:r>
          </w:p>
          <w:p w14:paraId="2094066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4.11</w:t>
            </w:r>
            <w:r>
              <w:rPr>
                <w:rFonts w:hint="eastAsia" w:ascii="宋体" w:hAnsi="宋体" w:eastAsia="宋体" w:cs="宋体"/>
                <w:i w:val="0"/>
                <w:iCs w:val="0"/>
                <w:color w:val="000000"/>
                <w:kern w:val="0"/>
                <w:sz w:val="24"/>
                <w:szCs w:val="24"/>
                <w:highlight w:val="none"/>
                <w:u w:val="none"/>
                <w:lang w:val="en-US" w:eastAsia="zh-CN" w:bidi="ar"/>
              </w:rPr>
              <w:t>最大有效成像视野≥39cm（对角线）。≥</w:t>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种物理成像视野，以适应不同部位介入需要。最大图像矩阵灰阶输出：1420 x 1560 x 16 bits。</w:t>
            </w:r>
          </w:p>
          <w:p w14:paraId="0B67E44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4.12</w:t>
            </w:r>
            <w:r>
              <w:rPr>
                <w:rFonts w:hint="eastAsia" w:ascii="宋体" w:hAnsi="宋体" w:eastAsia="宋体" w:cs="宋体"/>
                <w:i w:val="0"/>
                <w:iCs w:val="0"/>
                <w:color w:val="000000"/>
                <w:kern w:val="0"/>
                <w:sz w:val="24"/>
                <w:szCs w:val="24"/>
                <w:highlight w:val="none"/>
                <w:u w:val="none"/>
                <w:lang w:val="en-US" w:eastAsia="zh-CN" w:bidi="ar"/>
              </w:rPr>
              <w:t>平板探测器分辨率≥2.7LP／mm  。</w:t>
            </w:r>
          </w:p>
          <w:p w14:paraId="230F98E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4.13</w:t>
            </w:r>
            <w:r>
              <w:rPr>
                <w:rFonts w:hint="eastAsia" w:ascii="宋体" w:hAnsi="宋体" w:eastAsia="宋体" w:cs="宋体"/>
                <w:i w:val="0"/>
                <w:iCs w:val="0"/>
                <w:color w:val="000000"/>
                <w:kern w:val="0"/>
                <w:sz w:val="24"/>
                <w:szCs w:val="24"/>
                <w:highlight w:val="none"/>
                <w:u w:val="none"/>
                <w:lang w:val="en-US" w:eastAsia="zh-CN" w:bidi="ar"/>
              </w:rPr>
              <w:t>像素尺寸≤184μm  。DQE≥70%。</w:t>
            </w:r>
          </w:p>
          <w:p w14:paraId="2FE004B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4.14</w:t>
            </w:r>
            <w:r>
              <w:rPr>
                <w:rFonts w:hint="eastAsia" w:ascii="宋体" w:hAnsi="宋体" w:eastAsia="宋体" w:cs="宋体"/>
                <w:i w:val="0"/>
                <w:iCs w:val="0"/>
                <w:color w:val="000000"/>
                <w:kern w:val="0"/>
                <w:sz w:val="24"/>
                <w:szCs w:val="24"/>
                <w:highlight w:val="none"/>
                <w:u w:val="none"/>
                <w:lang w:val="en-US" w:eastAsia="zh-CN" w:bidi="ar"/>
              </w:rPr>
              <w:t>平板为长方形。平板探测器无需水冷装置。</w:t>
            </w:r>
          </w:p>
          <w:p w14:paraId="074C348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4.15</w:t>
            </w:r>
            <w:r>
              <w:rPr>
                <w:rFonts w:hint="eastAsia" w:ascii="宋体" w:hAnsi="宋体" w:eastAsia="宋体" w:cs="宋体"/>
                <w:i w:val="0"/>
                <w:iCs w:val="0"/>
                <w:color w:val="000000"/>
                <w:kern w:val="0"/>
                <w:sz w:val="24"/>
                <w:szCs w:val="24"/>
                <w:highlight w:val="none"/>
                <w:u w:val="none"/>
                <w:lang w:val="en-US" w:eastAsia="zh-CN" w:bidi="ar"/>
              </w:rPr>
              <w:t xml:space="preserve">平板探测器带有非接触式防碰撞保护装置及防碰撞自动控制。 </w:t>
            </w:r>
          </w:p>
          <w:p w14:paraId="5D94237E">
            <w:pPr>
              <w:keepNext w:val="0"/>
              <w:keepLines w:val="0"/>
              <w:widowControl/>
              <w:numPr>
                <w:ilvl w:val="0"/>
                <w:numId w:val="0"/>
              </w:numPr>
              <w:suppressLineNumbers w:val="0"/>
              <w:jc w:val="left"/>
              <w:textAlignment w:val="top"/>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4.16</w:t>
            </w:r>
            <w:r>
              <w:rPr>
                <w:rFonts w:hint="eastAsia" w:ascii="宋体" w:hAnsi="宋体" w:eastAsia="宋体" w:cs="宋体"/>
                <w:i w:val="0"/>
                <w:iCs w:val="0"/>
                <w:color w:val="000000"/>
                <w:kern w:val="0"/>
                <w:sz w:val="24"/>
                <w:szCs w:val="24"/>
                <w:highlight w:val="none"/>
                <w:u w:val="none"/>
                <w:lang w:val="en-US" w:eastAsia="zh-CN" w:bidi="ar"/>
              </w:rPr>
              <w:t>图像显示器</w:t>
            </w:r>
            <w:r>
              <w:rPr>
                <w:rFonts w:hint="eastAsia" w:ascii="宋体" w:hAnsi="宋体" w:cs="宋体"/>
                <w:i w:val="0"/>
                <w:iCs w:val="0"/>
                <w:color w:val="000000"/>
                <w:kern w:val="0"/>
                <w:sz w:val="24"/>
                <w:szCs w:val="24"/>
                <w:highlight w:val="none"/>
                <w:u w:val="none"/>
                <w:lang w:val="en-US" w:eastAsia="zh-CN" w:bidi="ar"/>
              </w:rPr>
              <w:t>：</w:t>
            </w:r>
          </w:p>
          <w:p w14:paraId="06257CE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控制室：≥24英吋高亮医用高分辨率LCD显示器：≥2台。高分辨率LCD显示器，显示矩阵1920 x 1080。最大视角≥178°。亮度≥400Cd/m²。</w:t>
            </w:r>
          </w:p>
          <w:p w14:paraId="517BFC0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4.17</w:t>
            </w:r>
            <w:r>
              <w:rPr>
                <w:rFonts w:hint="eastAsia" w:ascii="宋体" w:hAnsi="宋体" w:eastAsia="宋体" w:cs="宋体"/>
                <w:i w:val="0"/>
                <w:iCs w:val="0"/>
                <w:color w:val="000000"/>
                <w:kern w:val="0"/>
                <w:sz w:val="24"/>
                <w:szCs w:val="24"/>
                <w:highlight w:val="none"/>
                <w:u w:val="none"/>
                <w:lang w:val="en-US" w:eastAsia="zh-CN" w:bidi="ar"/>
              </w:rPr>
              <w:t>检查室：≥27英吋高亮医用高分辨率宽屏LCD显示器：≥1台；≥19英吋高亮医用高分辨率LCD显示器：≥</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台。宽屏显示器吊架。显示器吊架移动半径≥201cm。</w:t>
            </w:r>
          </w:p>
          <w:p w14:paraId="0DA994A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显示器上可显示X线使能；球管温度；曝光的kV,mA及ms；机架的旋转和成角信息；</w:t>
            </w:r>
          </w:p>
          <w:p w14:paraId="67A0FDA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4.18</w:t>
            </w:r>
            <w:r>
              <w:rPr>
                <w:rFonts w:hint="eastAsia" w:ascii="宋体" w:hAnsi="宋体" w:eastAsia="宋体" w:cs="宋体"/>
                <w:i w:val="0"/>
                <w:iCs w:val="0"/>
                <w:color w:val="000000"/>
                <w:kern w:val="0"/>
                <w:sz w:val="24"/>
                <w:szCs w:val="24"/>
                <w:highlight w:val="none"/>
                <w:u w:val="none"/>
                <w:lang w:val="en-US" w:eastAsia="zh-CN" w:bidi="ar"/>
              </w:rPr>
              <w:t>导管床高度；探测器视野；系统通用提示信息；选择的帧率；透视模式；累计透视时间；剂量率，累计剂量，DAP剂量面积乘积图像系统：外周采集、处理、存储10242矩阵。采集帧率0.5 – 6帧 /秒。最大采集帧率≥6帧/秒。心脏采集、处理、存储10242矩阵15- 30帧 /秒。实时减影 。 脉冲透视。床旁可直接选择透视剂量≥3档，最小档≤5伦琴/分钟。可存储单幅及序列透视图象（单次储存≥20S且≥600幅的连续动态透视图象），透视序列可以同屏多幅图像形式显示于参考屏上。最大脉冲透视速度≥30幅/秒。最小脉冲透视速度≤3.75幅/秒。具有透视末帧图像保持功能。硬盘图像存储量1024 矩阵≥50,000幅。后处理功能包括：改变回放速度、选择路标图像、电子遮光器、边缘增强、图像反转、附加注解、快速选择图像、移动放大、可变速度循环放映、造影图像自动窗宽、窗位调节、重定蒙片、手动自动像素移位、最大路径和骨标记。血管序列实时DSA功能和DA功能。图像显示功能：采集时间、日期显示、图像冻结，灰阶反转，图像标注，左／右标识，文字注释，解剖背景。路径图造影剂自动峰值保持功能。支持术中事件记录并存储。</w:t>
            </w:r>
          </w:p>
          <w:p w14:paraId="44F96B6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测量分析。</w:t>
            </w:r>
          </w:p>
          <w:p w14:paraId="5A34BEF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左心室分析软件，可测量舒张末期和收缩末期容积、射血分数、每博量测定。</w:t>
            </w:r>
          </w:p>
          <w:p w14:paraId="0C62DA7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三种方法以上室壁运动曲线测量。</w:t>
            </w:r>
          </w:p>
          <w:p w14:paraId="00BC964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冠脉分析软件，所选血管段直径、狭窄信息、截面积、狭窄百分比、压力级值等测量。以上定量分析软件均能够在主机上而非工作站上实现。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4.19</w:t>
            </w:r>
            <w:r>
              <w:rPr>
                <w:rFonts w:hint="eastAsia" w:ascii="宋体" w:hAnsi="宋体" w:eastAsia="宋体" w:cs="宋体"/>
                <w:i w:val="0"/>
                <w:iCs w:val="0"/>
                <w:color w:val="000000"/>
                <w:kern w:val="0"/>
                <w:sz w:val="24"/>
                <w:szCs w:val="24"/>
                <w:highlight w:val="none"/>
                <w:u w:val="none"/>
                <w:lang w:val="en-US" w:eastAsia="zh-CN" w:bidi="ar"/>
              </w:rPr>
              <w:t>旋转采集：L臂正位旋转采集C臂旋转速度≥55度/秒， 有效覆盖范围≥2</w:t>
            </w:r>
            <w:r>
              <w:rPr>
                <w:rFonts w:hint="eastAsia" w:ascii="宋体" w:hAnsi="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0度。L臂侧位旋转采集C臂旋转速度≥30度/秒 ，有效覆盖范围≥180度。</w:t>
            </w:r>
          </w:p>
          <w:p w14:paraId="563D37F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1024采集，最快采集速度≥30幅/秒。</w:t>
            </w:r>
          </w:p>
          <w:p w14:paraId="1886CE3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可实时减影。</w:t>
            </w:r>
          </w:p>
          <w:p w14:paraId="703D170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网络与接口：具有DICOM Send功能 。具有DICOM Print功能。具有DICOM Query/Retrieve功能。具有DICOM Worklist功能。具有DICOM MPPS功能。激光相机接口。高压注射器接口。</w:t>
            </w:r>
          </w:p>
          <w:p w14:paraId="600FA37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附件：具备整个系统的升级能力。</w:t>
            </w:r>
          </w:p>
          <w:p w14:paraId="370F324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具有双向对讲系统。</w:t>
            </w:r>
          </w:p>
          <w:p w14:paraId="7865DEC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具有图像处理操作面板。</w:t>
            </w:r>
          </w:p>
          <w:p w14:paraId="22093A6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具有悬吊式射线防护屏。</w:t>
            </w:r>
          </w:p>
          <w:p w14:paraId="5BB6314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具有床旁射线防护帘。</w:t>
            </w:r>
          </w:p>
          <w:p w14:paraId="0CB440A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具有悬吊式手术灯。</w:t>
            </w:r>
          </w:p>
          <w:p w14:paraId="7C7270B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具有中文操作手册。</w:t>
            </w:r>
          </w:p>
          <w:p w14:paraId="712E107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智能路径图功能：可针对脑血管、胸部、腹部等不同检查部位，设置专门的路径图参数，并可在床旁液晶触摸屏上直接进行参数调整。</w:t>
            </w:r>
          </w:p>
          <w:p w14:paraId="4B92760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可在床旁液晶触摸屏上选择针对导管引导、打胶、放置弹簧圈等不同介入操作的专门路径图模式。</w:t>
            </w:r>
          </w:p>
          <w:p w14:paraId="34295C2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医生可自定义针对特殊介入操作类型的路径图显示模式。</w:t>
            </w:r>
          </w:p>
          <w:p w14:paraId="3594DA8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在不同路径图模式下，可对路径图中的减影血管影像、介入植入物（导丝导管、胶、弹簧圈等）、解剖背景的亮度进行分别的独立调节，以满足复杂介入操作引导的需要。</w:t>
            </w:r>
          </w:p>
          <w:p w14:paraId="3ACD473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液晶触摸屏上具有专门的路径图运动伪影自动消除键，可随时对由于病人微小运动导致的路径图伪影（常被误认为漏胶）进行自动实时补偿校正，有效减少运动伪影的影响。</w:t>
            </w:r>
          </w:p>
          <w:p w14:paraId="35322A8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组合蒙片功能：可对用于实时DSA的蒙片数量进行实时组合优化，以明显降低蒙片的背景噪声，显著提高DSA的图像质量。</w:t>
            </w:r>
          </w:p>
          <w:p w14:paraId="702A4BC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可对用于实时DSA的蒙片数量进行实时组合优化，在保持相同噪声水平的前提下，明显降低辐射剂量。</w:t>
            </w:r>
          </w:p>
          <w:p w14:paraId="4990917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在实时DSA图像显示前的瞬间，可显示组合蒙片图像。可对组合蒙片的数量调整，最大组合蒙片数量≥6幅。可针对不同检查部位进行蒙片数量的个性化组合，以满足不同部位的成像特点。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射线剂量防护技术：</w:t>
            </w:r>
          </w:p>
          <w:p w14:paraId="0447099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5.1</w:t>
            </w:r>
            <w:r>
              <w:rPr>
                <w:rFonts w:hint="eastAsia" w:ascii="宋体" w:hAnsi="宋体" w:eastAsia="宋体" w:cs="宋体"/>
                <w:i w:val="0"/>
                <w:iCs w:val="0"/>
                <w:color w:val="000000"/>
                <w:kern w:val="0"/>
                <w:sz w:val="24"/>
                <w:szCs w:val="24"/>
                <w:highlight w:val="none"/>
                <w:u w:val="none"/>
                <w:lang w:val="en-US" w:eastAsia="zh-CN" w:bidi="ar"/>
              </w:rPr>
              <w:t>采用铜滤片自动插入技术消除球管软射线，最厚≥</w:t>
            </w:r>
            <w:r>
              <w:rPr>
                <w:rFonts w:hint="eastAsia" w:ascii="宋体" w:hAnsi="宋体" w:cs="宋体"/>
                <w:i w:val="0"/>
                <w:iCs w:val="0"/>
                <w:color w:val="000000"/>
                <w:kern w:val="0"/>
                <w:sz w:val="24"/>
                <w:szCs w:val="24"/>
                <w:highlight w:val="none"/>
                <w:u w:val="none"/>
                <w:lang w:val="en-US" w:eastAsia="zh-CN" w:bidi="ar"/>
              </w:rPr>
              <w:t>0.5</w:t>
            </w:r>
            <w:r>
              <w:rPr>
                <w:rFonts w:hint="eastAsia" w:ascii="宋体" w:hAnsi="宋体" w:eastAsia="宋体" w:cs="宋体"/>
                <w:i w:val="0"/>
                <w:iCs w:val="0"/>
                <w:color w:val="000000"/>
                <w:kern w:val="0"/>
                <w:sz w:val="24"/>
                <w:szCs w:val="24"/>
                <w:highlight w:val="none"/>
                <w:u w:val="none"/>
                <w:lang w:val="en-US" w:eastAsia="zh-CN" w:bidi="ar"/>
              </w:rPr>
              <w:t>mm。插入铜滤片数≥3片，具备自动和手动两种方式。</w:t>
            </w:r>
          </w:p>
          <w:p w14:paraId="4568CEC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5.2</w:t>
            </w:r>
            <w:r>
              <w:rPr>
                <w:rFonts w:hint="eastAsia" w:ascii="宋体" w:hAnsi="宋体" w:eastAsia="宋体" w:cs="宋体"/>
                <w:i w:val="0"/>
                <w:iCs w:val="0"/>
                <w:color w:val="000000"/>
                <w:kern w:val="0"/>
                <w:sz w:val="24"/>
                <w:szCs w:val="24"/>
                <w:highlight w:val="none"/>
                <w:u w:val="none"/>
                <w:lang w:val="en-US" w:eastAsia="zh-CN" w:bidi="ar"/>
              </w:rPr>
              <w:t>具有管球内置栅控技术</w:t>
            </w:r>
            <w:r>
              <w:rPr>
                <w:rFonts w:hint="eastAsia" w:ascii="宋体" w:hAnsi="宋体" w:cs="宋体"/>
                <w:i w:val="0"/>
                <w:iCs w:val="0"/>
                <w:color w:val="000000"/>
                <w:kern w:val="0"/>
                <w:sz w:val="24"/>
                <w:szCs w:val="24"/>
                <w:highlight w:val="none"/>
                <w:u w:val="none"/>
                <w:lang w:val="en-US" w:eastAsia="zh-CN" w:bidi="ar"/>
              </w:rPr>
              <w:t>或</w:t>
            </w:r>
            <w:r>
              <w:rPr>
                <w:rFonts w:hint="eastAsia" w:ascii="宋体" w:hAnsi="宋体" w:eastAsia="宋体" w:cs="宋体"/>
                <w:i w:val="0"/>
                <w:iCs w:val="0"/>
                <w:color w:val="000000"/>
                <w:kern w:val="0"/>
                <w:sz w:val="24"/>
                <w:szCs w:val="24"/>
                <w:highlight w:val="none"/>
                <w:u w:val="none"/>
                <w:lang w:val="en-US" w:eastAsia="zh-CN" w:bidi="ar"/>
              </w:rPr>
              <w:t>高压发生器。</w:t>
            </w:r>
          </w:p>
          <w:p w14:paraId="1C8ABB0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5.3</w:t>
            </w:r>
            <w:r>
              <w:rPr>
                <w:rFonts w:hint="eastAsia" w:ascii="宋体" w:hAnsi="宋体" w:eastAsia="宋体" w:cs="宋体"/>
                <w:i w:val="0"/>
                <w:iCs w:val="0"/>
                <w:color w:val="000000"/>
                <w:kern w:val="0"/>
                <w:sz w:val="24"/>
                <w:szCs w:val="24"/>
                <w:highlight w:val="none"/>
                <w:u w:val="none"/>
                <w:lang w:val="en-US" w:eastAsia="zh-CN" w:bidi="ar"/>
              </w:rPr>
              <w:t>透视图像存储功能：≥600幅透视图像连续存储。</w:t>
            </w:r>
          </w:p>
          <w:p w14:paraId="0DC6781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透视冻结图像上可实现无射线调节遮光器、滤波片位置。具有射线剂量监测功能，透视时，表面剂量率显示；透视间期，显示积累剂量，区域剂量和剂量限值。</w:t>
            </w:r>
          </w:p>
          <w:p w14:paraId="1A8AACFD">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green"/>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具有床下防护铅帘，悬吊式防护铅屏。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提供3D工作站一套。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6.1</w:t>
            </w:r>
            <w:r>
              <w:rPr>
                <w:rFonts w:hint="eastAsia" w:ascii="宋体" w:hAnsi="宋体" w:eastAsia="宋体" w:cs="宋体"/>
                <w:i w:val="0"/>
                <w:iCs w:val="0"/>
                <w:color w:val="000000"/>
                <w:kern w:val="0"/>
                <w:sz w:val="24"/>
                <w:szCs w:val="24"/>
                <w:highlight w:val="none"/>
                <w:u w:val="none"/>
                <w:lang w:val="en-US" w:eastAsia="zh-CN" w:bidi="ar"/>
              </w:rPr>
              <w:t>实时支架精显。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cs="宋体"/>
                <w:i w:val="0"/>
                <w:iCs w:val="0"/>
                <w:color w:val="000000"/>
                <w:kern w:val="0"/>
                <w:sz w:val="24"/>
                <w:szCs w:val="24"/>
                <w:highlight w:val="none"/>
                <w:u w:val="none"/>
                <w:lang w:val="en-US" w:eastAsia="zh-CN" w:bidi="ar"/>
              </w:rPr>
              <w:t>7、</w:t>
            </w:r>
            <w:r>
              <w:rPr>
                <w:rFonts w:hint="eastAsia" w:ascii="宋体" w:hAnsi="宋体" w:eastAsia="宋体" w:cs="宋体"/>
                <w:i w:val="0"/>
                <w:iCs w:val="0"/>
                <w:color w:val="000000"/>
                <w:kern w:val="0"/>
                <w:sz w:val="24"/>
                <w:szCs w:val="24"/>
                <w:highlight w:val="none"/>
                <w:u w:val="none"/>
                <w:lang w:val="en-US" w:eastAsia="zh-CN" w:bidi="ar"/>
              </w:rPr>
              <w:t>第三方配套双筒高压注射器一台。</w:t>
            </w:r>
          </w:p>
        </w:tc>
        <w:tc>
          <w:tcPr>
            <w:tcW w:w="48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F01F0E">
            <w:pPr>
              <w:keepNext w:val="0"/>
              <w:keepLines w:val="0"/>
              <w:widowControl/>
              <w:suppressLineNumbers w:val="0"/>
              <w:jc w:val="center"/>
              <w:textAlignment w:val="center"/>
              <w:rPr>
                <w:rFonts w:hint="eastAsia" w:ascii="宋体" w:hAnsi="宋体" w:eastAsia="宋体" w:cs="宋体"/>
                <w:i w:val="0"/>
                <w:iCs w:val="0"/>
                <w:color w:val="000000"/>
                <w:sz w:val="24"/>
                <w:szCs w:val="24"/>
                <w:highlight w:val="green"/>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DEB2E">
            <w:pPr>
              <w:keepNext w:val="0"/>
              <w:keepLines w:val="0"/>
              <w:widowControl/>
              <w:suppressLineNumbers w:val="0"/>
              <w:jc w:val="center"/>
              <w:textAlignment w:val="center"/>
              <w:rPr>
                <w:rFonts w:hint="eastAsia" w:ascii="宋体" w:hAnsi="宋体" w:eastAsia="宋体" w:cs="宋体"/>
                <w:i w:val="0"/>
                <w:iCs w:val="0"/>
                <w:color w:val="000000"/>
                <w:sz w:val="24"/>
                <w:szCs w:val="24"/>
                <w:highlight w:val="green"/>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650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2C11C2B1">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D95815">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4F50FF34">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EC00F0">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1768A">
            <w:pPr>
              <w:jc w:val="center"/>
              <w:rPr>
                <w:rFonts w:hint="eastAsia" w:ascii="宋体" w:hAnsi="宋体" w:eastAsia="宋体" w:cs="宋体"/>
                <w:i w:val="0"/>
                <w:iCs w:val="0"/>
                <w:color w:val="000000"/>
                <w:sz w:val="24"/>
                <w:szCs w:val="24"/>
                <w:highlight w:val="none"/>
                <w:u w:val="none"/>
              </w:rPr>
            </w:pPr>
          </w:p>
        </w:tc>
      </w:tr>
      <w:tr w14:paraId="1A86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4DA4AC95">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D7A442">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04CCDC89">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B2D0BD">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C026D6">
            <w:pPr>
              <w:jc w:val="center"/>
              <w:rPr>
                <w:rFonts w:hint="eastAsia" w:ascii="宋体" w:hAnsi="宋体" w:eastAsia="宋体" w:cs="宋体"/>
                <w:i w:val="0"/>
                <w:iCs w:val="0"/>
                <w:color w:val="000000"/>
                <w:sz w:val="24"/>
                <w:szCs w:val="24"/>
                <w:highlight w:val="none"/>
                <w:u w:val="none"/>
              </w:rPr>
            </w:pPr>
          </w:p>
        </w:tc>
      </w:tr>
      <w:tr w14:paraId="7006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6F9D4A4C">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FE74F">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66BCEAA1">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1DD892">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148AAE">
            <w:pPr>
              <w:jc w:val="center"/>
              <w:rPr>
                <w:rFonts w:hint="eastAsia" w:ascii="宋体" w:hAnsi="宋体" w:eastAsia="宋体" w:cs="宋体"/>
                <w:i w:val="0"/>
                <w:iCs w:val="0"/>
                <w:color w:val="000000"/>
                <w:sz w:val="24"/>
                <w:szCs w:val="24"/>
                <w:highlight w:val="none"/>
                <w:u w:val="none"/>
              </w:rPr>
            </w:pPr>
          </w:p>
        </w:tc>
      </w:tr>
      <w:tr w14:paraId="1096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51DC165A">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2A7262">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704DDFF0">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D5C209">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985B55">
            <w:pPr>
              <w:jc w:val="center"/>
              <w:rPr>
                <w:rFonts w:hint="eastAsia" w:ascii="宋体" w:hAnsi="宋体" w:eastAsia="宋体" w:cs="宋体"/>
                <w:i w:val="0"/>
                <w:iCs w:val="0"/>
                <w:color w:val="000000"/>
                <w:sz w:val="24"/>
                <w:szCs w:val="24"/>
                <w:highlight w:val="none"/>
                <w:u w:val="none"/>
              </w:rPr>
            </w:pPr>
          </w:p>
        </w:tc>
      </w:tr>
      <w:tr w14:paraId="5D83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3" w:hRule="atLeast"/>
        </w:trPr>
        <w:tc>
          <w:tcPr>
            <w:tcW w:w="280" w:type="pct"/>
            <w:tcBorders>
              <w:top w:val="single" w:color="000000" w:sz="4" w:space="0"/>
              <w:left w:val="single" w:color="000000" w:sz="4" w:space="0"/>
              <w:bottom w:val="single" w:color="000000" w:sz="4" w:space="0"/>
              <w:right w:val="single" w:color="000000" w:sz="4" w:space="0"/>
            </w:tcBorders>
            <w:noWrap/>
            <w:vAlign w:val="center"/>
          </w:tcPr>
          <w:p w14:paraId="53F423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7E3895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心脏彩超</w:t>
            </w:r>
          </w:p>
        </w:tc>
        <w:tc>
          <w:tcPr>
            <w:tcW w:w="3475" w:type="pct"/>
            <w:tcBorders>
              <w:top w:val="single" w:color="000000" w:sz="4" w:space="0"/>
              <w:left w:val="single" w:color="000000" w:sz="4" w:space="0"/>
              <w:bottom w:val="single" w:color="000000" w:sz="4" w:space="0"/>
              <w:right w:val="single" w:color="000000" w:sz="4" w:space="0"/>
            </w:tcBorders>
            <w:noWrap w:val="0"/>
            <w:vAlign w:val="top"/>
          </w:tcPr>
          <w:p w14:paraId="40FE3FDA">
            <w:pPr>
              <w:keepNext w:val="0"/>
              <w:keepLines w:val="0"/>
              <w:widowControl/>
              <w:numPr>
                <w:ilvl w:val="0"/>
                <w:numId w:val="25"/>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设备名称：超高档专业心脏彩色多普勒超声诊断仪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二、数量：1台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三、设备档次及用途：</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投标机型必须为国产，专业心脏彩超；可主要用于成人心脏、胎儿、新生儿及小儿心脏、血管（外周、脑血管）、腹部、小器官、浅表、经食道超声等应用，具备持续升级能力。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四、主要技术规格及系统概述：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4.1：最新主机平台，具备海量并行处理技术，获得更多组织信息，提升图像质量。</w:t>
            </w:r>
          </w:p>
          <w:p w14:paraId="55EAA11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4.2：主机具有高清液晶显示器≥21英寸。</w:t>
            </w:r>
          </w:p>
          <w:p w14:paraId="5E476D7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4.3：主机操作面板具备液晶触摸屏≥12英寸。</w:t>
            </w:r>
          </w:p>
          <w:p w14:paraId="71EDD3F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4.4：具备实时双屏显示功能：主机显示屏和触摸屏可实时同步显示超声扫查图像（附图证明），便于超声检查。</w:t>
            </w:r>
          </w:p>
          <w:p w14:paraId="45C1904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4.5：主机具有抽拉式键盘。</w:t>
            </w:r>
          </w:p>
          <w:p w14:paraId="7A2BC23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4.6：主机数字化通道数≥700万。</w:t>
            </w:r>
          </w:p>
          <w:p w14:paraId="2AAF364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4.7：主机系统动态范围≥300db。</w:t>
            </w:r>
          </w:p>
          <w:p w14:paraId="59F8961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4.8：数字化二维灰阶成像及M型显像单元。</w:t>
            </w:r>
          </w:p>
          <w:p w14:paraId="5D2A10F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4.9：数字化频谱多普勒显示和分析单元。</w:t>
            </w:r>
          </w:p>
          <w:p w14:paraId="4CC8BF0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4.10：解剖M型技术。</w:t>
            </w:r>
          </w:p>
          <w:p w14:paraId="778527F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4.11：智能扫查专家技术：能够根据科室的检查流程自定义操作规范，自动进行2D/彩色/PW等模式的转换，自动加标注及体表标志。</w:t>
            </w:r>
          </w:p>
          <w:p w14:paraId="6F5DFE5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4.12：智能化一键图像优化技术。</w:t>
            </w:r>
          </w:p>
          <w:p w14:paraId="34F540D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4.13：智能连续自动优化技术。</w:t>
            </w:r>
          </w:p>
          <w:p w14:paraId="53185CE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4.14：彩色多普勒成像技术。</w:t>
            </w:r>
          </w:p>
          <w:p w14:paraId="6DA5D93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4.15：彩色能量血管成像技术。</w:t>
            </w:r>
          </w:p>
          <w:p w14:paraId="0BDBB76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4.16：双幅实时对比成像技术。</w:t>
            </w:r>
          </w:p>
          <w:p w14:paraId="43484ED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4.17：自动多普勒优化技术。</w:t>
            </w:r>
          </w:p>
          <w:p w14:paraId="1B743FB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4.18：空间复合成像技术。</w:t>
            </w:r>
          </w:p>
          <w:p w14:paraId="1E64403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4.19：智能像素优化技术。</w:t>
            </w:r>
          </w:p>
          <w:p w14:paraId="53ED94E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4.20：组织多普勒成像功能：具有彩色，谐波，PW， M型多种模式，最高帧速率≥235帧/S。</w:t>
            </w:r>
          </w:p>
          <w:p w14:paraId="65A2023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4.21：组织优化成像技术：一键操作可对≥7000个系统参数同时优化，调节分辨力和穿透力。</w:t>
            </w:r>
          </w:p>
          <w:p w14:paraId="1A3ED23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4.22：主机具备有单晶体探头技术，可支持单晶体探头≥7把。</w:t>
            </w:r>
          </w:p>
          <w:p w14:paraId="5A2FA51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4.23：主机可支持超宽频带单晶体线阵探头，阵元数≥1600个、频率范围2-22MHz；可支持血管、浅表、肌骨、腹部、早孕等临床应用；同时该探头上具备刻度和中位线标识（附图证明），便于快速测量和定位。</w:t>
            </w:r>
          </w:p>
          <w:p w14:paraId="613BF5D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4.24：具有智能多普勒血管检查技术：一键自动调整取样框角度、位置、取样门位置、角度等，同时具备血流自动追踪技术，可跟随探头的移动实时追踪血管位置，自动调整彩色图像，包括取样框角度、位置等。</w:t>
            </w:r>
          </w:p>
          <w:p w14:paraId="1D3A34D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4.25：主机具有心肌造影功能：包括实时、触发心肌灌注造影成像高机械指数造影成像，低机械指数造影成像，闪烁造影成像。</w:t>
            </w:r>
          </w:p>
          <w:p w14:paraId="7A33129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4.26：主机具备多影像实时对比联合诊断功能：主机可直接获取和浏览CT/MRI/X-Ray/PET超声的DICOM图像，可与实时超声检查图像对比分析，提升诊断率 。</w:t>
            </w:r>
          </w:p>
          <w:p w14:paraId="714FA98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4.27：主机具备无线网络功能：并可在显示器屏幕上显示无线网络信号标示（附图证明）。</w:t>
            </w:r>
          </w:p>
          <w:p w14:paraId="6EF6FD9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4.28：具备中文操作系统。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五、测量与分析：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5.1：一般测量与分析。</w:t>
            </w:r>
          </w:p>
          <w:p w14:paraId="59C1D8B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5.2：产科测量与分析。</w:t>
            </w:r>
          </w:p>
          <w:p w14:paraId="16EBCA2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5.3：心脏功能测量与分析。</w:t>
            </w:r>
          </w:p>
          <w:p w14:paraId="1779BD2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5.4：多普勒血流测量与分析。</w:t>
            </w:r>
          </w:p>
          <w:p w14:paraId="18EB056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5.5：外周血管测量和计算功能。</w:t>
            </w:r>
          </w:p>
          <w:p w14:paraId="426FF17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5.6：自动多普勒频谱包络计算功能。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六、图像存储 (电影) 回放重显及病案管理单元：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6.1：数字化捕捉、回放、存储静、动态图像，实时图像传输，实时 JPEG 解压缩。</w:t>
            </w:r>
          </w:p>
          <w:p w14:paraId="399161A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6.2：主机系统硬盘≥1T，固态硬盘SSD≥100MB，电影回放重现单元2200帧、USB图像存储。</w:t>
            </w:r>
          </w:p>
          <w:p w14:paraId="652A0D6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6.3：所有相关的成像参数的屏幕注释，包括探头类型和频率、临床选项和优化预设、显示深度、灰度、帧速率、医院名称和患者的人口统计学数据。</w:t>
            </w:r>
          </w:p>
          <w:p w14:paraId="2B946F9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6.4：连通性：具备医学数字图像和通信DICOM版接口。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七、技术参数及要求：</w:t>
            </w:r>
          </w:p>
          <w:p w14:paraId="4581EC0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7.1：主机具有高清液晶显示器≥21英寸。</w:t>
            </w:r>
          </w:p>
          <w:p w14:paraId="012C7DB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7.2：主机显示器具有全屏高清成像模式，可放大显示16:9高清超声图像不失真。</w:t>
            </w:r>
          </w:p>
          <w:p w14:paraId="434080D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7.3：主机操作面板具备液晶触摸屏≥12英寸，并具有抽拉式键盘。</w:t>
            </w:r>
          </w:p>
          <w:p w14:paraId="301DA84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7.4：主机具备探头接口≥ 4个，所有接口全部激活并可互换通用。</w:t>
            </w:r>
          </w:p>
          <w:p w14:paraId="07CB1DE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7.5：探头规格：</w:t>
            </w:r>
          </w:p>
          <w:p w14:paraId="08E1261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7.5.1：频率：超宽频带探头，最高频率≥15MHz。</w:t>
            </w:r>
          </w:p>
          <w:p w14:paraId="3DBCA3B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7.5.2：主机可选探头类型包括：相控阵、线阵、凸阵、术中、经食道探头等。</w:t>
            </w:r>
          </w:p>
          <w:p w14:paraId="628DF70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7.5.3：配备探头数量：心脏探头（1个）、血管探头（1个）、腹部探头（1个）。7.5.4：探头扫描超声频率范围：</w:t>
            </w:r>
          </w:p>
          <w:p w14:paraId="2B66925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7.5.4.1：心脏探头超声频率：1-5MHz。</w:t>
            </w:r>
          </w:p>
          <w:p w14:paraId="12F7EB5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7.5.4.2：血管探头超声频率：3-12MHz。</w:t>
            </w:r>
          </w:p>
          <w:p w14:paraId="33AC70A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7.5.4.3：腹部探头超声频率：1-5MHz。</w:t>
            </w:r>
          </w:p>
          <w:p w14:paraId="5623B74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7.6：探头最大扫描深度：≥37cm。</w:t>
            </w:r>
          </w:p>
          <w:p w14:paraId="134E216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7.7：增益调节：</w:t>
            </w:r>
          </w:p>
          <w:p w14:paraId="520363D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7.7.1：主机操作面板上具有增益补偿TGC分段≥8段。7.7.2：主机触摸屏具有独立侧向增益补偿LGC键分段≥4段（附图证明）。</w:t>
            </w:r>
          </w:p>
          <w:p w14:paraId="21D6975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7.8：频普多普勒：</w:t>
            </w:r>
          </w:p>
          <w:p w14:paraId="0C34C20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7.8.1：方式：脉冲波多普勒PW，连续波多普勒CW。7.8.2：取样宽度及位置范围≥0.5-19mm。</w:t>
            </w:r>
          </w:p>
          <w:p w14:paraId="5CCE1EF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7.8.3：Doppler及M型电影回放：≥45秒。</w:t>
            </w:r>
          </w:p>
          <w:p w14:paraId="6DFD931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7.8.4：零位移动：≥8级。</w:t>
            </w:r>
          </w:p>
          <w:p w14:paraId="2296DBB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7.9：彩色多普勒：</w:t>
            </w:r>
          </w:p>
          <w:p w14:paraId="64A040B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7.9.1：显示方式：速度图 、能量图 、方向性能量图。7.9.2：彩色增强功能:彩色多普勒能量图。</w:t>
            </w:r>
          </w:p>
          <w:p w14:paraId="6CDD6F3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7.9.3：具有双同步 / 三同步显示。</w:t>
            </w:r>
          </w:p>
          <w:p w14:paraId="59C5676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7.9.4：显示控制：零位移动、黑白与彩色比较、彩色对比。</w:t>
            </w:r>
          </w:p>
          <w:p w14:paraId="7875F75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八、技术培训：</w:t>
            </w:r>
          </w:p>
          <w:p w14:paraId="5EA1CA2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现场操作培训，保证科室使用人员正常熟练操作设备功能。</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64FE0B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756082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57E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4" w:hRule="atLeast"/>
        </w:trPr>
        <w:tc>
          <w:tcPr>
            <w:tcW w:w="280" w:type="pct"/>
            <w:tcBorders>
              <w:top w:val="single" w:color="000000" w:sz="4" w:space="0"/>
              <w:left w:val="single" w:color="000000" w:sz="4" w:space="0"/>
              <w:bottom w:val="single" w:color="000000" w:sz="4" w:space="0"/>
              <w:right w:val="single" w:color="000000" w:sz="4" w:space="0"/>
            </w:tcBorders>
            <w:noWrap/>
            <w:vAlign w:val="center"/>
          </w:tcPr>
          <w:p w14:paraId="0185E4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14:paraId="205E91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移动彩超</w:t>
            </w:r>
          </w:p>
        </w:tc>
        <w:tc>
          <w:tcPr>
            <w:tcW w:w="3475" w:type="pct"/>
            <w:tcBorders>
              <w:top w:val="single" w:color="000000" w:sz="4" w:space="0"/>
              <w:left w:val="single" w:color="000000" w:sz="4" w:space="0"/>
              <w:bottom w:val="single" w:color="000000" w:sz="4" w:space="0"/>
              <w:right w:val="single" w:color="000000" w:sz="4" w:space="0"/>
            </w:tcBorders>
            <w:noWrap w:val="0"/>
            <w:vAlign w:val="top"/>
          </w:tcPr>
          <w:p w14:paraId="10CEEB9F">
            <w:pPr>
              <w:keepNext w:val="0"/>
              <w:keepLines w:val="0"/>
              <w:widowControl/>
              <w:numPr>
                <w:ilvl w:val="0"/>
                <w:numId w:val="26"/>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货物名称：全数字化高端便携彩色多普勒超声诊断系统。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二、产品用途说明：满足腹部、妇科、产科、心脏、小器官与浅表组织、血管、颅脑, 泌尿、介入性超声、儿科、急诊、麻醉、等全身应用。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三、系统技术规格及概述：</w:t>
            </w:r>
          </w:p>
          <w:p w14:paraId="05A7E90A">
            <w:pPr>
              <w:keepNext w:val="0"/>
              <w:keepLines w:val="0"/>
              <w:widowControl/>
              <w:numPr>
                <w:ilvl w:val="0"/>
                <w:numId w:val="27"/>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≥15英寸高清晰、医用专业彩色液晶显示屏，分辨率不低于1280x1024，根据环境光变化自动调节亮度。</w:t>
            </w:r>
          </w:p>
          <w:p w14:paraId="4742A31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1.1.探头接口≥1个，可扩展到≥3个。</w:t>
            </w:r>
          </w:p>
          <w:p w14:paraId="33AD4A0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1.2.整机重量≤7kg（含电池）。</w:t>
            </w:r>
          </w:p>
          <w:p w14:paraId="7298FE4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1.3.支持用户自定义按键数量≥4个，同一个自定义键支持≥4个功能。</w:t>
            </w:r>
          </w:p>
          <w:p w14:paraId="0F1D101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1.4.支持英语，中文，法语等语种（包括键盘输入、注释、操作面板等）。</w:t>
            </w:r>
          </w:p>
          <w:p w14:paraId="4F8B002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1.5.主机自带QWERTY物理英文全键盘，支持多语言输入，支持用户自定义按键数量≥4个。</w:t>
            </w:r>
          </w:p>
          <w:p w14:paraId="35FE4A3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1.6.通过CE、FDA及NMPA认证。</w:t>
            </w:r>
          </w:p>
          <w:p w14:paraId="319E699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2.二维灰阶模式：</w:t>
            </w:r>
          </w:p>
          <w:p w14:paraId="308DCB2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2.1.组织谐波成像模式。</w:t>
            </w:r>
          </w:p>
          <w:p w14:paraId="5F904EC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2.2.组织特异性成像。</w:t>
            </w:r>
          </w:p>
          <w:p w14:paraId="7C88434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2.3.频率复合成像。</w:t>
            </w:r>
          </w:p>
          <w:p w14:paraId="76BB529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2.4.斑点噪声抑制成像。</w:t>
            </w:r>
          </w:p>
          <w:p w14:paraId="56A6B67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2.5.回波增强技术。</w:t>
            </w:r>
          </w:p>
          <w:p w14:paraId="57FA330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3.M型成像模式：</w:t>
            </w:r>
          </w:p>
          <w:p w14:paraId="5152B74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3.1.彩色M型。</w:t>
            </w:r>
          </w:p>
          <w:p w14:paraId="18E6FBB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3.2.解剖M型，取样线≥3条，可360度任意旋转。</w:t>
            </w:r>
          </w:p>
          <w:p w14:paraId="2751E45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4.彩色多普勒成像（包括彩色、能量、方向能量多普勒模式）。</w:t>
            </w:r>
          </w:p>
          <w:p w14:paraId="71C9EDE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4.1.超宽动态血流技术。</w:t>
            </w:r>
          </w:p>
          <w:p w14:paraId="4DD5F77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4.2.高分辨率血流成像。</w:t>
            </w:r>
          </w:p>
          <w:p w14:paraId="4D832B5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4.3.双实时同屏对比显示。</w:t>
            </w:r>
          </w:p>
          <w:p w14:paraId="495083E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4.4.自动调节取样框的角度及位置。</w:t>
            </w:r>
          </w:p>
          <w:p w14:paraId="276AD6F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5.频谱多普勒成像：</w:t>
            </w:r>
          </w:p>
          <w:p w14:paraId="5E61FCB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5.1.脉冲多普勒、高脉冲重复频率。</w:t>
            </w:r>
          </w:p>
          <w:p w14:paraId="54A4EBC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5.2.连续多普勒。</w:t>
            </w:r>
          </w:p>
          <w:p w14:paraId="73282A7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5.3.智能多普勒自动优化频谱多普勒取样线角度，以及快速矫正取样角度。</w:t>
            </w:r>
          </w:p>
          <w:p w14:paraId="7868C20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6.组织多普勒成像：</w:t>
            </w:r>
          </w:p>
          <w:p w14:paraId="7EC360C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6.1.支持TDI、TEI、TVD、TVM四种模式。</w:t>
            </w:r>
          </w:p>
          <w:p w14:paraId="2A0A57F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7.造影成像及定量分析单元：</w:t>
            </w:r>
          </w:p>
          <w:p w14:paraId="7C3C07A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7.1.用于腹部、浅表和微血管造影。</w:t>
            </w:r>
          </w:p>
          <w:p w14:paraId="749C56D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7.2.左室造影和心肌造影。</w:t>
            </w:r>
          </w:p>
          <w:p w14:paraId="27CEF9B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7.3.支持时间强度分析曲线和运动追踪。</w:t>
            </w:r>
          </w:p>
          <w:p w14:paraId="298DC9D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7.4.支持组织图像与造影剂图像混合造影模式。8.实时宽景成像：支持凸阵、线阵和相控阵探头，具有扫描速度提示功能方便用户操作，可360度旋转。</w:t>
            </w:r>
          </w:p>
          <w:p w14:paraId="404E99B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9.一键自动优化（包括应用于二维、彩色、频谱模式、TDI及造影）。</w:t>
            </w:r>
          </w:p>
          <w:p w14:paraId="1B47CFA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10.图像放大技术：</w:t>
            </w:r>
          </w:p>
          <w:p w14:paraId="51DC459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10.1.一键实现全屏放大。</w:t>
            </w:r>
          </w:p>
          <w:p w14:paraId="43529DE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10.2.10倍局部放大（支持前端、后端放大）。</w:t>
            </w:r>
          </w:p>
          <w:p w14:paraId="5A589AF3">
            <w:pPr>
              <w:keepNext w:val="0"/>
              <w:keepLines w:val="0"/>
              <w:widowControl/>
              <w:numPr>
                <w:ilvl w:val="0"/>
                <w:numId w:val="28"/>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自动工作流协议：</w:t>
            </w:r>
          </w:p>
          <w:p w14:paraId="12281C94">
            <w:pPr>
              <w:keepNext w:val="0"/>
              <w:keepLines w:val="0"/>
              <w:widowControl/>
              <w:numPr>
                <w:ilvl w:val="1"/>
                <w:numId w:val="28"/>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可根据医生习惯自定义检查规范，减少重复操作。</w:t>
            </w:r>
          </w:p>
          <w:p w14:paraId="2D52C42E">
            <w:pPr>
              <w:keepNext w:val="0"/>
              <w:keepLines w:val="0"/>
              <w:widowControl/>
              <w:numPr>
                <w:ilvl w:val="1"/>
                <w:numId w:val="28"/>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自动打开彩色、频谱成像模式，自动添加体位图和注释，无需手动输入。</w:t>
            </w:r>
          </w:p>
          <w:p w14:paraId="1951174F">
            <w:pPr>
              <w:keepNext w:val="0"/>
              <w:keepLines w:val="0"/>
              <w:widowControl/>
              <w:numPr>
                <w:ilvl w:val="0"/>
                <w:numId w:val="28"/>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穿刺针增强技术：</w:t>
            </w:r>
          </w:p>
          <w:p w14:paraId="09852F3D">
            <w:pPr>
              <w:keepNext w:val="0"/>
              <w:keepLines w:val="0"/>
              <w:widowControl/>
              <w:numPr>
                <w:ilvl w:val="1"/>
                <w:numId w:val="28"/>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双屏实时对比显示增强前后效果。</w:t>
            </w:r>
          </w:p>
          <w:p w14:paraId="15ECA69C">
            <w:pPr>
              <w:keepNext w:val="0"/>
              <w:keepLines w:val="0"/>
              <w:widowControl/>
              <w:numPr>
                <w:ilvl w:val="1"/>
                <w:numId w:val="28"/>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增强平面角度可调，步进10°。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 测量分析和报告：</w:t>
            </w:r>
          </w:p>
          <w:p w14:paraId="51CDA14D">
            <w:pPr>
              <w:keepNext w:val="0"/>
              <w:keepLines w:val="0"/>
              <w:widowControl/>
              <w:numPr>
                <w:ilvl w:val="0"/>
                <w:numId w:val="29"/>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常规测量，支持距离、椭圆、描迹测、体积、斜率等。</w:t>
            </w:r>
          </w:p>
          <w:p w14:paraId="2526542E">
            <w:pPr>
              <w:keepNext w:val="0"/>
              <w:keepLines w:val="0"/>
              <w:widowControl/>
              <w:numPr>
                <w:ilvl w:val="0"/>
                <w:numId w:val="29"/>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多普勒测量（自动或手动包络测量，自动计算测量参数）。</w:t>
            </w:r>
          </w:p>
          <w:p w14:paraId="29823363">
            <w:pPr>
              <w:keepNext w:val="0"/>
              <w:keepLines w:val="0"/>
              <w:widowControl/>
              <w:numPr>
                <w:ilvl w:val="0"/>
                <w:numId w:val="29"/>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妇科/产科专用测量及分析。</w:t>
            </w:r>
          </w:p>
          <w:p w14:paraId="56142202">
            <w:pPr>
              <w:keepNext w:val="0"/>
              <w:keepLines w:val="0"/>
              <w:widowControl/>
              <w:numPr>
                <w:ilvl w:val="1"/>
                <w:numId w:val="29"/>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含多胎测量、胎儿生理评分、中国人群产科公式 。3.2.自动产科测量（支持双顶径、头围、枕额径、股骨长、腹围）。</w:t>
            </w:r>
          </w:p>
          <w:p w14:paraId="3CDA8DFE">
            <w:pPr>
              <w:keepNext w:val="0"/>
              <w:keepLines w:val="0"/>
              <w:widowControl/>
              <w:numPr>
                <w:ilvl w:val="1"/>
                <w:numId w:val="29"/>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自动NT测量。</w:t>
            </w:r>
          </w:p>
          <w:p w14:paraId="7BA8FDE7">
            <w:pPr>
              <w:keepNext w:val="0"/>
              <w:keepLines w:val="0"/>
              <w:widowControl/>
              <w:numPr>
                <w:ilvl w:val="0"/>
                <w:numId w:val="29"/>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心脏功能专用测量及分析，包括Simpson BP，Tei指数分析，PISA等。</w:t>
            </w:r>
          </w:p>
          <w:p w14:paraId="2DE7FEF2">
            <w:pPr>
              <w:keepNext w:val="0"/>
              <w:keepLines w:val="0"/>
              <w:widowControl/>
              <w:numPr>
                <w:ilvl w:val="0"/>
                <w:numId w:val="29"/>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血管内中膜自动测量1，可同时进行血管前、后壁的内中膜一段距离的自动描记、自动生成测量数据结果。6.儿科髋关节测量、神经测量和急重症测量。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五、电影回放及原始数据处理：</w:t>
            </w:r>
          </w:p>
          <w:p w14:paraId="524C1C11">
            <w:pPr>
              <w:keepNext w:val="0"/>
              <w:keepLines w:val="0"/>
              <w:widowControl/>
              <w:numPr>
                <w:ilvl w:val="0"/>
                <w:numId w:val="3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电影回放：</w:t>
            </w:r>
          </w:p>
          <w:p w14:paraId="1BBF88D8">
            <w:pPr>
              <w:keepNext w:val="0"/>
              <w:keepLines w:val="0"/>
              <w:widowControl/>
              <w:numPr>
                <w:ilvl w:val="1"/>
                <w:numId w:val="3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所有模式下支持手动、自动回放。</w:t>
            </w:r>
          </w:p>
          <w:p w14:paraId="186F6F67">
            <w:pPr>
              <w:keepNext w:val="0"/>
              <w:keepLines w:val="0"/>
              <w:widowControl/>
              <w:numPr>
                <w:ilvl w:val="1"/>
                <w:numId w:val="3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支持向后存储和向前存储，时间长度可预置，向后存储≥5分钟的电影。</w:t>
            </w:r>
          </w:p>
          <w:p w14:paraId="515266ED">
            <w:pPr>
              <w:keepNext w:val="0"/>
              <w:keepLines w:val="0"/>
              <w:widowControl/>
              <w:numPr>
                <w:ilvl w:val="1"/>
                <w:numId w:val="3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支持保存后的图像同屏对比分析（动态、静态）。2.原始数据处理，可对回放图像进行≥20个参数调节。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六、检查存储和管理：</w:t>
            </w:r>
          </w:p>
          <w:p w14:paraId="39EE7B73">
            <w:pPr>
              <w:keepNext w:val="0"/>
              <w:keepLines w:val="0"/>
              <w:widowControl/>
              <w:numPr>
                <w:ilvl w:val="0"/>
                <w:numId w:val="31"/>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≥240G固态硬盘。</w:t>
            </w:r>
          </w:p>
          <w:p w14:paraId="24685F1C">
            <w:pPr>
              <w:keepNext w:val="0"/>
              <w:keepLines w:val="0"/>
              <w:widowControl/>
              <w:numPr>
                <w:ilvl w:val="0"/>
                <w:numId w:val="31"/>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内置超声工作站，支持同步存储，即后台存储或导出图像数据的同时前台可以完成实时扫描，不影响检查操作。</w:t>
            </w:r>
          </w:p>
          <w:p w14:paraId="002F3A0F">
            <w:pPr>
              <w:keepNext w:val="0"/>
              <w:keepLines w:val="0"/>
              <w:widowControl/>
              <w:numPr>
                <w:ilvl w:val="0"/>
                <w:numId w:val="31"/>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支持直接一键存储至硬盘或U盘，突然关机或未结束检查关机资料不丢失。</w:t>
            </w:r>
          </w:p>
          <w:p w14:paraId="71A5177D">
            <w:pPr>
              <w:keepNext w:val="0"/>
              <w:keepLines w:val="0"/>
              <w:widowControl/>
              <w:numPr>
                <w:ilvl w:val="0"/>
                <w:numId w:val="31"/>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动态图像、静态图像以PC格式直接导出（支持单帧图像文件包含： DCM、TIFF、BMP、JPG单帧，电影文件包括：CIN、AVI、DCM），无需特殊软件即能在普通PC 机上直接观看图像。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七、技术参数及要求：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1.二维灰阶模式。</w:t>
            </w:r>
          </w:p>
          <w:p w14:paraId="236C346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1.1焦点：≥4个，动态可调。</w:t>
            </w:r>
          </w:p>
          <w:p w14:paraId="055D3BF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1.2.扫描频率：</w:t>
            </w:r>
          </w:p>
          <w:p w14:paraId="68B2E13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1.2.1.单晶体电子凸阵：超声频率 1.5-5.0MHz，1.2.2.单晶体电子相控阵：超声频率1.5-5.0MHz，1.2.3.电子线阵：超声频率3.0-13MHz，</w:t>
            </w:r>
          </w:p>
          <w:p w14:paraId="7F5ACCD0">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1.2.4.电子微凸探头：超声频率3.5-11MHz，</w:t>
            </w:r>
          </w:p>
          <w:p w14:paraId="33E4478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1.3.最大显示深度:≥39cm。</w:t>
            </w:r>
          </w:p>
          <w:p w14:paraId="6A805D8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1.4.TGC: ≥8段，LGC: ≥4段（提供图片证明）。</w:t>
            </w:r>
          </w:p>
          <w:p w14:paraId="59A79F7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1.5.动态范围: 30-190dB，可视可调。</w:t>
            </w:r>
          </w:p>
          <w:p w14:paraId="4D2CBC60">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1.6增益调节: B/M/D分别独立可调，≥100。</w:t>
            </w:r>
          </w:p>
          <w:p w14:paraId="60C5DDEE">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1.7.伪彩图谱: ≥8种。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2.彩色多普勒成像：</w:t>
            </w:r>
          </w:p>
          <w:p w14:paraId="7734A67E">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2.1.包括速度、速度方差、能量、方向能量显示。</w:t>
            </w:r>
          </w:p>
          <w:p w14:paraId="0CFD891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2.2.显示方式：B/C、B/C/M、B/POWER、B/C/PW。</w:t>
            </w:r>
          </w:p>
          <w:p w14:paraId="2800942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2.3.取样框偏转: ≥±30度 (线阵探头)。</w:t>
            </w:r>
          </w:p>
          <w:p w14:paraId="4634919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2.4.扫描帧率：相控阵探头18cm深，高线密度全视野彩色帧频≥4帧/秒；凸阵探头18cm深，高线密度全视野彩色帧频≥6帧/秒。</w:t>
            </w:r>
          </w:p>
          <w:p w14:paraId="4F4C3557">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2.5.支持B/C 同宽。</w:t>
            </w:r>
          </w:p>
          <w:p w14:paraId="681E247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3.频谱多普勒模式：</w:t>
            </w:r>
          </w:p>
          <w:p w14:paraId="01A9BF4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3.1.显示控制：反转、零移位、B刷新、D扩展、B/D扩展等。</w:t>
            </w:r>
          </w:p>
          <w:p w14:paraId="08D311A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3.2.PW最大速度: ≥8m/s。</w:t>
            </w:r>
          </w:p>
          <w:p w14:paraId="706185AC">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3.3.最小速度: ≤5mm/s。</w:t>
            </w:r>
          </w:p>
          <w:p w14:paraId="187AA1B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3.4.取样容积: 0.5-20mm 。</w:t>
            </w:r>
          </w:p>
          <w:p w14:paraId="5E1C820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3.5.偏转角度: ≥±30度 (线阵探头)。</w:t>
            </w:r>
          </w:p>
          <w:p w14:paraId="64D0489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3.6.零位移动：≥8 级。</w:t>
            </w:r>
          </w:p>
          <w:p w14:paraId="769EA7D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3.7.快速角度校正。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八、连通性：</w:t>
            </w:r>
          </w:p>
          <w:p w14:paraId="109FF69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1.参考信号:心电，呼吸波，心电触发。</w:t>
            </w:r>
          </w:p>
          <w:p w14:paraId="5575706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1.2.数据接口:HDMI、USB3.0接口、音频接口。</w:t>
            </w:r>
          </w:p>
          <w:p w14:paraId="4AF2173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1.3.支持数据无线传输。</w:t>
            </w:r>
          </w:p>
          <w:p w14:paraId="07FC616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1.4.支持DICOM3.0系统，可选配DICOM妇产科、心脏、血管、乳腺结构化报。</w:t>
            </w:r>
          </w:p>
          <w:p w14:paraId="264A0845">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1.5.外设数据模块：包含S-视频、VGA视频接口、高清音视频接口。</w:t>
            </w:r>
          </w:p>
          <w:p w14:paraId="438778F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1.6.专用台车：可升降。</w:t>
            </w:r>
          </w:p>
          <w:p w14:paraId="09AFDA8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1.7.具备可装卸探头扩展槽。</w:t>
            </w:r>
          </w:p>
          <w:p w14:paraId="69C392B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1.8.专用旅行箱，可装载主机、探头及相关备件。</w:t>
            </w:r>
          </w:p>
          <w:p w14:paraId="6447E77E">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1.9.探头四把：单晶体凸阵、单晶体相控阵、线阵、电子微凸探。</w:t>
            </w:r>
          </w:p>
          <w:p w14:paraId="38959D4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1.10.支持超声远程会诊系统，该系统需具备单独远程超声会诊系统注册证及信息安全等级保护三级证书。</w:t>
            </w:r>
          </w:p>
        </w:tc>
        <w:tc>
          <w:tcPr>
            <w:tcW w:w="245" w:type="pct"/>
            <w:tcBorders>
              <w:top w:val="single" w:color="000000" w:sz="4" w:space="0"/>
              <w:left w:val="single" w:color="000000" w:sz="4" w:space="0"/>
              <w:bottom w:val="single" w:color="000000" w:sz="4" w:space="0"/>
              <w:right w:val="single" w:color="000000" w:sz="4" w:space="0"/>
            </w:tcBorders>
            <w:noWrap w:val="0"/>
            <w:vAlign w:val="center"/>
          </w:tcPr>
          <w:p w14:paraId="14E14C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14:paraId="20E21C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347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ign w:val="center"/>
          </w:tcPr>
          <w:p w14:paraId="6E5C27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709" w:type="pct"/>
            <w:vMerge w:val="restart"/>
            <w:tcBorders>
              <w:top w:val="single" w:color="000000" w:sz="4" w:space="0"/>
              <w:left w:val="single" w:color="000000" w:sz="4" w:space="0"/>
              <w:bottom w:val="single" w:color="000000" w:sz="4" w:space="0"/>
              <w:right w:val="single" w:color="000000" w:sz="4" w:space="0"/>
            </w:tcBorders>
            <w:noWrap w:val="0"/>
            <w:vAlign w:val="center"/>
          </w:tcPr>
          <w:p w14:paraId="5641AC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心肺功能测试仪</w:t>
            </w:r>
          </w:p>
        </w:tc>
        <w:tc>
          <w:tcPr>
            <w:tcW w:w="3475" w:type="pct"/>
            <w:vMerge w:val="restart"/>
            <w:tcBorders>
              <w:top w:val="single" w:color="000000" w:sz="4" w:space="0"/>
              <w:left w:val="single" w:color="000000" w:sz="4" w:space="0"/>
              <w:bottom w:val="single" w:color="000000" w:sz="4" w:space="0"/>
              <w:right w:val="single" w:color="000000" w:sz="4" w:space="0"/>
            </w:tcBorders>
            <w:noWrap w:val="0"/>
            <w:vAlign w:val="top"/>
          </w:tcPr>
          <w:p w14:paraId="1852B72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一、设备配置：</w:t>
            </w:r>
          </w:p>
          <w:p w14:paraId="2484859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专业工控计算机、打印机，19寸宽屏显示器，超声流量传感器，多角度全方位可移动关节臂，豪华推车一体式；恒功率自行车，12导联运动心电，CPF软件具备软件著作权证书。</w:t>
            </w:r>
          </w:p>
          <w:p w14:paraId="56230F6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二、检测方法及用途：</w:t>
            </w:r>
          </w:p>
          <w:p w14:paraId="43C270D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采用国际先进且性能优异的数字化超声流量传感器和探测技术，无需压力差和阻力网，用于运动心肺测定、肺通气功能测定、肺内气体分布、营养代谢测定、运动激发试验、气道反应性测试等心肺功能检测，满足临床诊断及科研需求。</w:t>
            </w:r>
          </w:p>
          <w:p w14:paraId="112205C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三、测试项目：</w:t>
            </w:r>
          </w:p>
          <w:p w14:paraId="1C0506D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运动心肺测定、肺内气体分布测定、营养代谢测定、慢通气功能、流量容积环和用力时间肺活量、每分最大通气量、气道反应性测试、运动激发试验等。</w:t>
            </w:r>
          </w:p>
          <w:p w14:paraId="7D9C7BB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四、测试参数：</w:t>
            </w:r>
          </w:p>
          <w:p w14:paraId="5AAE6C5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4.1.氧代谢测定：最大摄氧量 VO2max、摄氧量 VO2、二氧化碳排出量 VCO2、无氧阈 AT、通气量 VE、呼吸交换率 RER、氧脉搏 O2Plus、心率储备 HRR、呼吸储备 BR。</w:t>
            </w:r>
          </w:p>
          <w:p w14:paraId="564043E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4.2.肺内气体分布测定：基于容积的 CO2 呼出曲线和阈值死腔 VD-Threshold、生理死腔VD-Bohr、肺泡死腔 Vm25_50、Vm50_75 等。</w:t>
            </w:r>
          </w:p>
          <w:p w14:paraId="25ABDBD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4.3.营养代谢测定：摄氧量VO2、二氧化碳排出量VCO2、呼吸熵RQ、静息能量消耗REE、碳水化合物消耗CHO、脂类消耗 FAT、蛋白质消耗 PROT、呼末氧分压 PETO2、呼末二氧化碳分压 PETCO2。</w:t>
            </w:r>
          </w:p>
          <w:p w14:paraId="095E2F6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4.4.慢通气功能：最大肺活量VCmax,、潮气量VT,、呼吸频率BF, 每分通气量MV、补呼气量ERV、深吸气量IC等。</w:t>
            </w:r>
          </w:p>
          <w:p w14:paraId="65574D8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4.5.流量容积环和用力时间肺活量：用力肺活量FVCex、半秒量FEV0.5、一秒量FEV1、峰流量PEF、25%呼气流量MEF25、MEF50、MEF75、中段呼气流量MEF25-75、一秒率FEV1%FVC等。</w:t>
            </w:r>
          </w:p>
          <w:p w14:paraId="672191C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4.6.每分最大通气量：最大通气量MVV、 FEV1*35、AF、VR%等。</w:t>
            </w:r>
          </w:p>
          <w:p w14:paraId="259ADB9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4.7.气道反应性测试：激发试验PD20、舒张试验CHG%。</w:t>
            </w:r>
          </w:p>
          <w:p w14:paraId="7F81F5E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4.8.气道阻力： Rocc, Gocc。</w:t>
            </w:r>
          </w:p>
          <w:p w14:paraId="5B449CA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4.9.运动激发试验。</w:t>
            </w:r>
          </w:p>
          <w:p w14:paraId="079F0A43">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五、性能指标</w:t>
            </w:r>
          </w:p>
          <w:p w14:paraId="7DF275F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5.1超声流量传感技术：超声波流量传感器，要求使用寿命长，测量精度高，呼吸阻力为零，传感器内部不得有任何障碍物。每人次更换所有的呼吸管路和面罩，确保没有共同呼吸回路，彻底杜绝交叉感染。测量范围：0-±15L/S，最大误差-1.16%，容量范围： 0–±21 升， 分辨率：-0.38%。</w:t>
            </w:r>
          </w:p>
          <w:p w14:paraId="5D06EFE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5.2.CO2气体分析器：要求使用寿命长，性能稳定，红外吸收法原理，测量范围： 0–10%，测量精度：±0.1%，分析速度：不超过90毫秒。</w:t>
            </w:r>
          </w:p>
          <w:p w14:paraId="61F5407B">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5.3.O2气体分析器：要求使用寿命长，性能稳定，测量范围： 10-21%，测量精度： ± 0.1%，分辨率 0.01%，分析速度：不超过 90毫秒。</w:t>
            </w:r>
          </w:p>
          <w:p w14:paraId="4603971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5.4.CH4气体分析器:红外光谱吸收技术,测量范围: 0-3300 ppm CH4测量精度士0.01%。</w:t>
            </w:r>
          </w:p>
          <w:p w14:paraId="32482F5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5.5.干燥方式：采用高分子的自动吸水干燥管路，不需要更换干燥剂。</w:t>
            </w:r>
          </w:p>
          <w:p w14:paraId="01B3630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5.6.气路设计：开放式测试系统，病人可通过呼吸测试头直接呼吸空气，不使用大螺纹管路进行气体采集。</w:t>
            </w:r>
          </w:p>
          <w:p w14:paraId="0FCEE04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5.7.计算机配置要求：采用品牌工控机系统，至少 4G 内存，250G SSD，彩色打印机，19 寸宽屏彩色液晶显示器。</w:t>
            </w:r>
          </w:p>
          <w:p w14:paraId="67509FB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5.8.直接流量测量：直接测量气体分子，能检测微小的流速改变，且无需任何转换，微弱气流也能精确测量。</w:t>
            </w:r>
          </w:p>
          <w:p w14:paraId="05A811A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5.9.非接触式流量探测、不怕水汽、杜绝交叉感染。</w:t>
            </w:r>
          </w:p>
          <w:p w14:paraId="75537BD6">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5.10.自动定标：全数字化技术，内置温度、湿度及大气压传感器，实时测量环境参数，自动BTPS校正，机器内置定标，避免人为定标影响，无需繁琐的人工定标工作。</w:t>
            </w:r>
          </w:p>
          <w:p w14:paraId="1B5B86BA">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5.11.软件采用SQL数据库系统，全中文化操控界面（非部分汉化），全中文报告结论，所有测试项目均可诊断意见自动生成（提供证明），提供数据库查询、分析功能，测试报告可以BMP或JPG的形式输出，测试数据以Excel格式输出，方便后续数学统计和科学分析研究。</w:t>
            </w:r>
          </w:p>
          <w:p w14:paraId="50DC24B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5.12.具备设备原厂配套的一次性过滤型咬嘴和吸氧管，杜绝交叉感染。</w:t>
            </w:r>
          </w:p>
          <w:p w14:paraId="051DACF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六、测试系统</w:t>
            </w:r>
          </w:p>
          <w:p w14:paraId="73C60FC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6.1.重复性：通气功能测试需同一个界面上支持不少于10条FV曲线和用力时间肺活量曲线的叠加，并显示每条测试曲线的具体测试参数。</w:t>
            </w:r>
          </w:p>
          <w:p w14:paraId="0CF8019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6.2.质量控制：满足ATS和ERS的质控要求，测试结果自动分析、自动判定是否满足质控要求，并指出哪一项未达标，方便受试者改进（提供图片证明）。</w:t>
            </w:r>
          </w:p>
          <w:p w14:paraId="7C2A06E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6.3.数据组合：能够重复测量高达10次，且自动选择不同的呼气环和吸气环虚拟组合成最佳的测试数据和结果。</w:t>
            </w:r>
          </w:p>
          <w:p w14:paraId="639C3C5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6.4.信息化接口：支持医院信息化系统连接，支持身高体重、身份证读取信息自动传输到系统，支持扫码枪扫码输入病人信息。</w:t>
            </w:r>
          </w:p>
          <w:p w14:paraId="4FE6D6E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6.5.编辑功能：支持测试曲线测试点位置调整功能。</w:t>
            </w:r>
          </w:p>
          <w:p w14:paraId="646A9F6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6.6.摄氧量的动态正常值范围带：必须提供摄氧量的在动态正常值范围带，以便临床上大量不能运动到力竭的病人的运动评估、</w:t>
            </w:r>
          </w:p>
          <w:p w14:paraId="5C997D0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6.7.无氧阈评估：提供自动和手动 AT 评估，为方便 AT 准确定位，必须具备在任何一张图上拖动 AT 线，其他图上的 AT 线也应自动变化、</w:t>
            </w:r>
          </w:p>
          <w:p w14:paraId="4CA3184E">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6.8.动画演示程序：流量容积环的动态演示程序，用于帮助小孩特别是学龄前儿童配合做好流量容积环检查。</w:t>
            </w:r>
          </w:p>
          <w:p w14:paraId="7B0866D8">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七、其他要求 </w:t>
            </w:r>
          </w:p>
          <w:p w14:paraId="2D30E63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7.1.产品需通过ISO9001和ISO13485质量管理体系认证（提供证明）。</w:t>
            </w:r>
          </w:p>
          <w:p w14:paraId="7B003B1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7.2.中华人民共和国境内注册、研发、生产，具有独立法人资格的统一社会信用代码的营业执照（提供国家权威部门证明）。</w:t>
            </w:r>
          </w:p>
          <w:p w14:paraId="0A88528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7.3.个性灵活的功能定制：未来可升级脉冲振荡、体描和潮气呼吸环等模块。</w:t>
            </w:r>
          </w:p>
          <w:p w14:paraId="743D64C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八、功率自行车</w:t>
            </w:r>
          </w:p>
          <w:p w14:paraId="0A0B699F">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8.1.坐式心肺功能康复功率车，阻力类型:微处理器控制的电磁涡流阻力系统，功率调节范围:6 - 999 瓦。</w:t>
            </w:r>
          </w:p>
          <w:p w14:paraId="5CB2437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8.2.负荷递增幅度：每1瓦可调，负荷精确度：负荷最大变异系数不大于2%，符合DIN VDE 0750-238标准，转速范围:30 – 130转/分。</w:t>
            </w:r>
          </w:p>
          <w:p w14:paraId="65F16E1D">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8.3.车把位置调整:可作360°旋转,360°旋转/90-126厘米升降车座高度电动调节，适合患者身高范围：120-210cm最大可承重160公斤。</w:t>
            </w:r>
          </w:p>
          <w:p w14:paraId="72B9F3E5">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8.4.患者显示器中图形需有显示以下指标:负荷, 转速, 时间, 心率;治疗师显示器(LED)显示以下指标：转速 按键:薄膜按键。</w:t>
            </w:r>
          </w:p>
          <w:p w14:paraId="3ED1F7D2">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8.5.功率车自带程序：5种固定运动负荷测试方案（WHO、BAL、Hollman、STD.France、Standard）。</w:t>
            </w:r>
          </w:p>
          <w:p w14:paraId="04186AE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8.6 .10种用户可编辑运动负荷测试方案； 4种体能测试方案（如负荷递增、PWC测试）；10种用户可编辑训练方案（心率控制训练模式、恒定负荷训练模式、间歇训练模式）。</w:t>
            </w:r>
          </w:p>
          <w:p w14:paraId="24A0A7AC">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8.7.用户手动控制负荷模式，接口:数字接口(RS-232)连接ERS系统，尺寸规格/整机重量:约 90 x 46 x 133 厘米/ 61-69 公斤，电源:90-265 V / 50-60 Hz / 80 VA。</w:t>
            </w:r>
          </w:p>
          <w:p w14:paraId="348E5A1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九、十二导运动心电部分</w:t>
            </w:r>
          </w:p>
          <w:p w14:paraId="6D2BA1B1">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9.1.双屏独立显示12导运动心电图和气体代谢数据。</w:t>
            </w:r>
          </w:p>
          <w:p w14:paraId="0CDD3819">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9.2.心电图和气体代谢要内置无缝连接（在心电图窗口界面上同步显示气体代谢数据，在肺功能窗口界面上显示心电数据），病人资料和数据在计算机内部进行自动交换；采用国际著名品牌的运动心电图，采样频率不得低于4000赫兹；要求全程记录所有心电图，支持心电电影回放功能。</w:t>
            </w:r>
          </w:p>
          <w:p w14:paraId="4A860CE0">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9.3.采用心率触发、ECG平均、抗基线漂移、抗锯齿和噪音的滤波器等先进技术；采用主滤波器、辅助滤波器、抗基线漂移滤波器等三大滤波器技术确保完美的波形质。。</w:t>
            </w:r>
          </w:p>
          <w:p w14:paraId="5427AB47">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9.4.要求可以对心律失常进行彩色编码分析；有T波电交替、QTD等运动心电报告，对运动平板协议可以无限添加；可设置不同阶段的采样波形颜色及背景颜色，方便操作医师的判断与观察支持E-mail,PDF,ASCII,GDT,HL7,Dicom界面。</w:t>
            </w:r>
          </w:p>
        </w:tc>
        <w:tc>
          <w:tcPr>
            <w:tcW w:w="2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BCB16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7DC8ED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154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66028202">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828490">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2E5FA019">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BCD640">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5E24A6">
            <w:pPr>
              <w:jc w:val="center"/>
              <w:rPr>
                <w:rFonts w:hint="eastAsia" w:ascii="宋体" w:hAnsi="宋体" w:eastAsia="宋体" w:cs="宋体"/>
                <w:i w:val="0"/>
                <w:iCs w:val="0"/>
                <w:color w:val="000000"/>
                <w:sz w:val="24"/>
                <w:szCs w:val="24"/>
                <w:highlight w:val="none"/>
                <w:u w:val="none"/>
              </w:rPr>
            </w:pPr>
          </w:p>
        </w:tc>
      </w:tr>
      <w:tr w14:paraId="31C1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5BD4A862">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2DA6B3">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497A60EC">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0167F">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27EB0">
            <w:pPr>
              <w:jc w:val="center"/>
              <w:rPr>
                <w:rFonts w:hint="eastAsia" w:ascii="宋体" w:hAnsi="宋体" w:eastAsia="宋体" w:cs="宋体"/>
                <w:i w:val="0"/>
                <w:iCs w:val="0"/>
                <w:color w:val="000000"/>
                <w:sz w:val="24"/>
                <w:szCs w:val="24"/>
                <w:highlight w:val="none"/>
                <w:u w:val="none"/>
              </w:rPr>
            </w:pPr>
          </w:p>
        </w:tc>
      </w:tr>
      <w:tr w14:paraId="2408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ign w:val="center"/>
          </w:tcPr>
          <w:p w14:paraId="2B545B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709" w:type="pct"/>
            <w:vMerge w:val="restart"/>
            <w:tcBorders>
              <w:top w:val="single" w:color="000000" w:sz="4" w:space="0"/>
              <w:left w:val="single" w:color="000000" w:sz="4" w:space="0"/>
              <w:bottom w:val="single" w:color="000000" w:sz="4" w:space="0"/>
              <w:right w:val="single" w:color="000000" w:sz="4" w:space="0"/>
            </w:tcBorders>
            <w:noWrap w:val="0"/>
            <w:vAlign w:val="center"/>
          </w:tcPr>
          <w:p w14:paraId="2E0520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单泵机</w:t>
            </w:r>
          </w:p>
        </w:tc>
        <w:tc>
          <w:tcPr>
            <w:tcW w:w="3475" w:type="pct"/>
            <w:vMerge w:val="restart"/>
            <w:tcBorders>
              <w:top w:val="single" w:color="000000" w:sz="4" w:space="0"/>
              <w:left w:val="single" w:color="000000" w:sz="4" w:space="0"/>
              <w:bottom w:val="single" w:color="000000" w:sz="4" w:space="0"/>
              <w:right w:val="single" w:color="000000" w:sz="4" w:space="0"/>
            </w:tcBorders>
            <w:noWrap w:val="0"/>
            <w:vAlign w:val="top"/>
          </w:tcPr>
          <w:p w14:paraId="336CD823">
            <w:pPr>
              <w:keepNext w:val="0"/>
              <w:keepLines w:val="0"/>
              <w:widowControl/>
              <w:numPr>
                <w:ilvl w:val="0"/>
                <w:numId w:val="32"/>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功能配置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1、具有血液透析、单纯超滤、超纯透析功能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2、彩色触屏操作，中文界面，显示屏≥15英寸，可上下、左右旋转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3、具有声光报警功能，灯光≥4种颜色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4、全功能数字化自检，包括所有显示、控制、监测等系统，能实时显示水路动态变化、自检进程等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5、配有B干粉筒支架，可使用B干粉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6、配有透析液过滤器支架，可对透析液进行超纯过滤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7、适用多种透析液配方，透析液配制按比例配液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8、采用密闭式双容量平衡腔+超滤泵方式的超滤控制系统，单个平衡腔容量≥100ml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9、可选用10ml、20ml、30ml三种规格注射器；可自动识别注射器规格；可设定肝素泵提前停止时间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10、具有透析液温度超限报警功能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11、具有透析器血室压力降监测和报警功能，具有跨膜压监测报警功能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12、具有静脉压无波动报警功能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13、具有在线清除率检测功能，具有动态实时Kt/V动能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14、可使用通用型血路管和透析器等耗材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15、可自动预冲管路系统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16、可透后一键启动排液，快速排空管路系统、干粉筒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17、具有透析液供液暂停功能，以节省透析液，降低成本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18、可调节透析液钠离子浓度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19、内置后备电源，断电时可自动切换并可维持血泵正常运转及监测显示所有治疗数据不少于15min，具备断电记忆功能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20、具有光学漏血探测器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21、具有超声波空气检测器，可监测单个大气泡和连续小气泡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22、可执行水洗、热水洗、热柠檬酸消毒和化学消毒程序；密闭循环消毒模式，连同浓缩液管、机后排液管一体化清洗消毒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23、配有维护模式，可显示水路部件动态信息，可单个控制水路泵、阀的开和关动作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二、规格参数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1、透析液流量范围300～800ml/min，连续可调，调节间隔≤1ml/min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2、血流量范围20～460ml/min可调，分辨率≤1ml/min，具有旋钮调节和数字设定两种血流量调节方式；可选用大、小两种泵管管路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3、动脉压显示范围-400～+400mmHg，精度±10mmHg，分辨率1mmHg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4、静脉压显示范围-50～+300mmHg，精度±10mmHg，分辨率1mmHg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5、跨膜压显示范围-100～+600mmHg，精度±10mmHg，分辨率1mmHg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6、肝素泵流量范围0.1～10ml/h，分辨率0.1ml/h，精度±5％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7、透析液温度设定范围35～39℃，精度±0.5℃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8、电导率显示范围12.5～15.5mS/cm，分辨率0.1mS/cm，精确度±0.1mS/cm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9、超滤率0～1800ml/h，精度±100ml/h或±5%；超滤目标设定范围0～20L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10、漏血探测器灵敏度≤0.35ml/min（HCT=32%）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11、空气检测器灵敏度：单个大气泡≥50uL，连续小气泡≥100uL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12、可选用柠檬酸、过氧乙酸、次氯酸钠、醋酸等消毒液；热消毒温度≥85℃</w:t>
            </w:r>
          </w:p>
        </w:tc>
        <w:tc>
          <w:tcPr>
            <w:tcW w:w="245" w:type="pct"/>
            <w:vMerge w:val="restart"/>
            <w:tcBorders>
              <w:top w:val="single" w:color="000000" w:sz="4" w:space="0"/>
              <w:left w:val="single" w:color="000000" w:sz="4" w:space="0"/>
              <w:bottom w:val="single" w:color="000000" w:sz="4" w:space="0"/>
              <w:right w:val="single" w:color="000000" w:sz="4" w:space="0"/>
            </w:tcBorders>
            <w:noWrap w:val="0"/>
            <w:vAlign w:val="center"/>
          </w:tcPr>
          <w:p w14:paraId="54D024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FF79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5E3E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4D300A21">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38E2EA">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4C346681">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412E34">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02E156">
            <w:pPr>
              <w:jc w:val="center"/>
              <w:rPr>
                <w:rFonts w:hint="eastAsia" w:ascii="宋体" w:hAnsi="宋体" w:eastAsia="宋体" w:cs="宋体"/>
                <w:i w:val="0"/>
                <w:iCs w:val="0"/>
                <w:color w:val="000000"/>
                <w:sz w:val="24"/>
                <w:szCs w:val="24"/>
                <w:highlight w:val="none"/>
                <w:u w:val="none"/>
              </w:rPr>
            </w:pPr>
          </w:p>
        </w:tc>
      </w:tr>
      <w:tr w14:paraId="7524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ign w:val="center"/>
          </w:tcPr>
          <w:p w14:paraId="67040E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709" w:type="pct"/>
            <w:vMerge w:val="restart"/>
            <w:tcBorders>
              <w:top w:val="single" w:color="000000" w:sz="4" w:space="0"/>
              <w:left w:val="single" w:color="000000" w:sz="4" w:space="0"/>
              <w:bottom w:val="single" w:color="000000" w:sz="4" w:space="0"/>
              <w:right w:val="single" w:color="000000" w:sz="4" w:space="0"/>
            </w:tcBorders>
            <w:noWrap w:val="0"/>
            <w:vAlign w:val="center"/>
          </w:tcPr>
          <w:p w14:paraId="05708E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双泵机</w:t>
            </w:r>
          </w:p>
        </w:tc>
        <w:tc>
          <w:tcPr>
            <w:tcW w:w="3475" w:type="pct"/>
            <w:vMerge w:val="restart"/>
            <w:tcBorders>
              <w:top w:val="single" w:color="000000" w:sz="4" w:space="0"/>
              <w:left w:val="single" w:color="000000" w:sz="4" w:space="0"/>
              <w:bottom w:val="single" w:color="000000" w:sz="4" w:space="0"/>
              <w:right w:val="single" w:color="000000" w:sz="4" w:space="0"/>
            </w:tcBorders>
            <w:noWrap w:val="0"/>
            <w:vAlign w:val="top"/>
          </w:tcPr>
          <w:p w14:paraId="2D47D8E5">
            <w:pPr>
              <w:keepNext w:val="0"/>
              <w:keepLines w:val="0"/>
              <w:widowControl/>
              <w:numPr>
                <w:ilvl w:val="0"/>
                <w:numId w:val="33"/>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采用10寸以上彩色中文触摸显示屏，图文信息显示，各种治疗参数实时显示，具有完善的自检功能。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2、菜单栏可以进行个性化设定，可以设定不同颜色，背景光亮度≤10个等级可调；机器软件有维修和故障诊断功能，出现报警时，中文提示报警内容。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3、具有控制、监测、驱动的处理系统，保证机器安全平稳运行，具有双电导度控制，可测定、反馈电导度显示，控制透析液浓度。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4、采用500ml大容量的平衡腔密闭式超滤系统（容量控制），闭合回路陶瓷泵脱水系统。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 具有定期自检功能，可以进行平衡腔及超滤控制系统功能的诊断。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6、机器配备动静脉壶液面调节功能，一键式提升或降低动静脉壶液面。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7、360°可视外部独立四色报警指示灯，具有声光报警指示，可帮助医护及时准确判断报警及提示内容，报警具有声光报警功能，提示音、报警音可以个性化设定。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8、具有电磁屏蔽保护，具有CE认证证书及环境认证证书。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9、设备尺寸≤550×900（mm），设备重量≤100kg。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10、具备HD功能,UF功能,单针功能、脱水功能。可自由设定超滤率、透析液浓度、碳酸氢钠浓度、血液流速和肝素泵注射速率等。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11、供电电压：交流AC220 V～240 V，50 Hz/60 Hz，设备最大功率最好不大于1.5KW，节约用电。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12、完全分离的水电路设计，提高了机器运行的安全性和稳定性；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13、血流量：血流量调节范围 0,30-600mL/min 任意可调。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14、动脉压监测：-400-+500 mmHg，精准度±3 mmHg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15、静脉压监测：-200-+400 mmHg，精准度±3 mmHg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16、肝素注射流量控制范围：0-9.9 ml/h，精度±0.05ml/h或±5% (注射器尺寸10mL.20mL.30mL)。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17、跨膜压监测：-400-+500 mmHg，有跨膜压自动跟踪监测显示。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18、供水压力：0.1-0.3MPa，供水流量：大于 800ml/min,供水温度 5-30℃。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19、透析液流速：300-700ml/min；任意可调。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20、可预设一周的自动消毒程序，能设置多种脱钙、清洗、热消毒、化学消毒的程序，消毒液可以使用通用性的消毒液，可预设一周自动准备程序，使机器提早进入自检准备，节约上机时间，便捷护理操作；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21、采用单通道消毒模式，使机器管路消毒既安全又可靠，而且无感染。消毒结束后，消毒管路自动排空，避免消毒液残留。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22、待机模式下，定时对内部管路进行液体循环，减少机器管路内部细菌的滋生，确保患者的治疗安全；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23、机器配备进水过滤器，可有效过滤进水中杂质，避免机器内部部件的堵塞；</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24、标配内置备用电池，当供电停电后，机器将自动切换至电池运行，治疗参数可保存，体外血液循环监测系统可运转 30 分钟以上。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25、备用电池供电模式下，会有电池电量监测，可提前预判体外血液循环系统的运行情况，防范于未然，提高透析时的安全性。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26.补液泵：置换液流速设定范围：0.0 L/h～18.0 L/h  精度：±10 %；目标量设定范围：0.01～99.99L。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27、配备原厂同品牌细菌过滤器，可以提供高质量的透析液，能为患者提供超纯透析液的治疗方案。</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28、设备主要配置清单：28.1主机1台；28.2操作手册、安装手册、维修手册各本；28.3维修工具、保险1套；28.4内毒素过滤器连接管1套；28.5体验合格证、检查单各1本。</w:t>
            </w:r>
          </w:p>
        </w:tc>
        <w:tc>
          <w:tcPr>
            <w:tcW w:w="245" w:type="pct"/>
            <w:vMerge w:val="restart"/>
            <w:tcBorders>
              <w:top w:val="single" w:color="000000" w:sz="4" w:space="0"/>
              <w:left w:val="single" w:color="000000" w:sz="4" w:space="0"/>
              <w:bottom w:val="single" w:color="000000" w:sz="4" w:space="0"/>
              <w:right w:val="single" w:color="000000" w:sz="4" w:space="0"/>
            </w:tcBorders>
            <w:noWrap w:val="0"/>
            <w:vAlign w:val="center"/>
          </w:tcPr>
          <w:p w14:paraId="649477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163541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051C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05BA7C0A">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DEACB5">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4DD02BCE">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D00670">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2FD8C6">
            <w:pPr>
              <w:jc w:val="center"/>
              <w:rPr>
                <w:rFonts w:hint="eastAsia" w:ascii="宋体" w:hAnsi="宋体" w:eastAsia="宋体" w:cs="宋体"/>
                <w:i w:val="0"/>
                <w:iCs w:val="0"/>
                <w:color w:val="000000"/>
                <w:sz w:val="24"/>
                <w:szCs w:val="24"/>
                <w:highlight w:val="none"/>
                <w:u w:val="none"/>
              </w:rPr>
            </w:pPr>
          </w:p>
        </w:tc>
      </w:tr>
      <w:tr w14:paraId="49CB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ign w:val="center"/>
          </w:tcPr>
          <w:p w14:paraId="474C9F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709" w:type="pct"/>
            <w:vMerge w:val="restart"/>
            <w:tcBorders>
              <w:top w:val="single" w:color="000000" w:sz="4" w:space="0"/>
              <w:left w:val="single" w:color="000000" w:sz="4" w:space="0"/>
              <w:bottom w:val="single" w:color="000000" w:sz="4" w:space="0"/>
              <w:right w:val="single" w:color="000000" w:sz="4" w:space="0"/>
            </w:tcBorders>
            <w:noWrap w:val="0"/>
            <w:vAlign w:val="center"/>
          </w:tcPr>
          <w:p w14:paraId="3B8073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高压氧舱（26人）</w:t>
            </w:r>
          </w:p>
        </w:tc>
        <w:tc>
          <w:tcPr>
            <w:tcW w:w="3475" w:type="pct"/>
            <w:vMerge w:val="restart"/>
            <w:tcBorders>
              <w:top w:val="single" w:color="000000" w:sz="4" w:space="0"/>
              <w:left w:val="single" w:color="000000" w:sz="4" w:space="0"/>
              <w:bottom w:val="single" w:color="000000" w:sz="4" w:space="0"/>
              <w:right w:val="single" w:color="000000" w:sz="4" w:space="0"/>
            </w:tcBorders>
            <w:noWrap w:val="0"/>
            <w:vAlign w:val="top"/>
          </w:tcPr>
          <w:p w14:paraId="52C6C6CE">
            <w:pPr>
              <w:keepNext w:val="0"/>
              <w:keepLines w:val="0"/>
              <w:widowControl/>
              <w:numPr>
                <w:ilvl w:val="0"/>
                <w:numId w:val="34"/>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执行标准：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1．符合2016版TSG  24-2015《氧舱安全技术监察规程》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2．执行GB/T12130-2020《氧舱》国家标准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3．GB/T150-2011《压力容器》国家标准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4．《压力容器安全技术监察规程》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5．GB9706.1-2007《医用电气设备》第一部分：安全通用要求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6．具备CMD医疗器械产品认证和质量管理体系认证资格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二、主要技术要求：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（一）舱体部分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1．氧舱结构形式：三舱七门式，直列式布局。采用平底结构，无地下室设计，舱体总体高度≤3100mm。</w:t>
            </w:r>
          </w:p>
          <w:p w14:paraId="24457E2A">
            <w:pPr>
              <w:keepNext w:val="0"/>
              <w:keepLines w:val="0"/>
              <w:widowControl/>
              <w:numPr>
                <w:ilvl w:val="0"/>
                <w:numId w:val="3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舱体规格：治疗舱1（常规治疗舱）：（直径×长度）3200×6000mm。治疗舱2（ICU重患抢救舱）：（直径×长度）3200×5500mm。过渡舱：（直径×长度）3200×3500mm。</w:t>
            </w:r>
          </w:p>
          <w:p w14:paraId="19F17071">
            <w:pPr>
              <w:keepNext w:val="0"/>
              <w:keepLines w:val="0"/>
              <w:widowControl/>
              <w:numPr>
                <w:ilvl w:val="0"/>
                <w:numId w:val="3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设计压力：0.3 MPa， 最高工作压力：0.2 MPa。</w:t>
            </w:r>
          </w:p>
          <w:p w14:paraId="06B93D32">
            <w:pPr>
              <w:keepNext w:val="0"/>
              <w:keepLines w:val="0"/>
              <w:widowControl/>
              <w:numPr>
                <w:ilvl w:val="0"/>
                <w:numId w:val="3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治疗人数：26人。治疗舱1：12人，治疗舱2：10人，过渡舱4人。</w:t>
            </w:r>
          </w:p>
          <w:p w14:paraId="11E7215C">
            <w:pPr>
              <w:keepNext w:val="0"/>
              <w:keepLines w:val="0"/>
              <w:widowControl/>
              <w:numPr>
                <w:ilvl w:val="0"/>
                <w:numId w:val="3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人均舱容≥3m3 。</w:t>
            </w:r>
          </w:p>
          <w:p w14:paraId="60BF7353">
            <w:pPr>
              <w:keepNext w:val="0"/>
              <w:keepLines w:val="0"/>
              <w:widowControl/>
              <w:numPr>
                <w:ilvl w:val="0"/>
                <w:numId w:val="3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舱门透光尺寸及数量：采用氧舱新型平移门，以消除门坎，方便轮椅和担架的进出，舱门尺寸加宽为（宽×高）1000×1900 mm，数量7个；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投标设备应采用平移门相关技术；</w:t>
            </w:r>
          </w:p>
          <w:p w14:paraId="1C6B0876">
            <w:pPr>
              <w:keepNext w:val="0"/>
              <w:keepLines w:val="0"/>
              <w:widowControl/>
              <w:numPr>
                <w:ilvl w:val="0"/>
                <w:numId w:val="3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照明方式及数量：采用冷光源外照明装置，最大照度100Lx并可以实现可变光控制（照度控制范围20~100Lx可调），数量21只。</w:t>
            </w:r>
          </w:p>
          <w:p w14:paraId="149826DD">
            <w:pPr>
              <w:keepNext w:val="0"/>
              <w:keepLines w:val="0"/>
              <w:widowControl/>
              <w:numPr>
                <w:ilvl w:val="0"/>
                <w:numId w:val="30"/>
              </w:numPr>
              <w:suppressLineNumbers w:val="0"/>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观察窗尺寸及数量：透光直径300mm，数量14只。9．摄像窗：舱体两侧外置式摄像窗，数量10只（透光直径Ф120mm），治疗舱1及治疗舱2各4只，过渡舱2只。</w:t>
            </w:r>
          </w:p>
          <w:p w14:paraId="03A6CF85">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10.传物筒：采用具有国际先进水准的新型传物筒并配有先进的传物筒安全联动控制装置及压力显示和安全连锁装置，透光直径≥300mm，每舱室各1套。数量 3套。</w:t>
            </w:r>
          </w:p>
          <w:p w14:paraId="494CFFF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舱内座椅采用高靠背角度可调双扶手高级轿车座椅，要求该座椅可以任意固定和拆卸，当舱内选择座位式治疗时，该座椅可以通过设置在舱壁下部拉杆上的固定卡环实施固定，以满足坐式患者使用的需要；当舱内选择卧位式治疗时，可将该座椅移出，停放担架或ICU病床。</w:t>
            </w:r>
          </w:p>
          <w:p w14:paraId="55940F28">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舱内采用全新的装饰布局模式，所有装饰板和舱内设施均采用模块化可拆卸固定结构，需要时可将所有装饰板和舱内设施快速拆除和恢复，以满足舱室内整体定期消毒的需要；舱内设施布局合理美观，充分满足操作和检修的方便性需要；舱内装饰材料必须采用阻燃等级为A级的金属材料，座椅面料阻燃等级为≥B1级，要求具有较高的档次和人性化设计理念。13．舱内配设全方位拾音对讲装置。</w:t>
            </w:r>
          </w:p>
          <w:p w14:paraId="5ABC101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14．每舱均配设输液吊架1套。</w:t>
            </w:r>
          </w:p>
          <w:p w14:paraId="1F201AA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15．舱内壁饰装采用彩色合金板。</w:t>
            </w:r>
          </w:p>
          <w:p w14:paraId="6B516AE5">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16．舱内天花板采用平顶装饰模式。</w:t>
            </w:r>
          </w:p>
          <w:p w14:paraId="4B23425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舱内设备层采用彩色合金板饰装并留有检修门。18．舱内地板采用高强度、防静电石塑板铺设，地面采用全封闭结构，以满足舱室内整体消毒净化的要求，舱室一端留有积水排水槽，以确保将舱内的积水顺利的排至舱外。</w:t>
            </w:r>
          </w:p>
          <w:p w14:paraId="071E8598">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19．供氧方式：单人单管流量计监控自动呼吸调节供氧,低阻力供氧方式。</w:t>
            </w:r>
          </w:p>
          <w:p w14:paraId="321DD15E">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20．排氧方式：低阻力排氧方式。</w:t>
            </w:r>
          </w:p>
          <w:p w14:paraId="2A1CDD3C">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21．操作控制方式：手动（机械式）+电动遥控操作+计算机自动化操作控制。</w:t>
            </w:r>
          </w:p>
          <w:p w14:paraId="27376C2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22.舱室内设置新型无断点多用途过舱导联装置，共26套，每座位1套；要求确保信号不衰减、图形不变形、监测结果真实、准确、可靠。应采用“氧舱新型无断点生物电导联”技术；</w:t>
            </w:r>
          </w:p>
          <w:p w14:paraId="7724595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23．每舱室设置通风换气装置1套，共3套，通风换气装置规格为防爆轴流风机，为确保氧舱安全，要求具备逆向电源锁定控制装置；投标设备应采用医用氧舱舱室排风相关技术；</w:t>
            </w:r>
          </w:p>
          <w:p w14:paraId="01EAB23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24．供气系统管路及阀件，以及消防水喷淋系统应符合GB/T12130-2020《氧舱》新标准要求。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（二）操作控制台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操作控制系统由1台数字自动化操作控制总台和3台机械式分控台组成；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（1）总控台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1．数显温控仪：3套。</w:t>
            </w:r>
          </w:p>
          <w:p w14:paraId="2230F9F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2．高保真立体声氧舱专用主对讲机：2台。</w:t>
            </w:r>
          </w:p>
          <w:p w14:paraId="0038A59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3．应急呼叫显示报警装置：3套。</w:t>
            </w:r>
          </w:p>
          <w:p w14:paraId="5D60012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4．多功能数字刻录记录一体机：1台。具备刻录记录、多画面分割显示、视频信号转换与播放等功能。</w:t>
            </w:r>
          </w:p>
          <w:p w14:paraId="4210BBB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5．功放机：1台。</w:t>
            </w:r>
          </w:p>
          <w:p w14:paraId="68889F05">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6．高保真立体声音箱：4套。</w:t>
            </w:r>
          </w:p>
          <w:p w14:paraId="297172B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7．电气控制系统：1套。</w:t>
            </w:r>
          </w:p>
          <w:p w14:paraId="2CC6CA86">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8．单人供氧动态显示仪：26套。</w:t>
            </w:r>
          </w:p>
          <w:p w14:paraId="693D54F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9．先进的触摸屏式微电脑操作控制系统：3套。具备自动调节控制加减压、稳压、排氧（呼吸排气）功能，并具备舱内温度、环境氧浓度监示控制功能。</w:t>
            </w:r>
          </w:p>
          <w:p w14:paraId="620061B7">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10．应急电源（UPS1000VA）：2台。</w:t>
            </w:r>
          </w:p>
          <w:p w14:paraId="1A2B38A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11．氧气稳压分配管：3套。</w:t>
            </w:r>
          </w:p>
          <w:p w14:paraId="60FBB266">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12．标志、铭牌 ：1套。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（2）分控台Ⅰ（治疗舱1）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1．加减压操作阀门（配新型手动机械式拉杆操作阀）：2套。治疗舱1加减压各1套。投标设备应采用拉杆式操作阀门相关技术；</w:t>
            </w:r>
          </w:p>
          <w:p w14:paraId="537FA63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2．互通阀（配新型手动机械式拉杆操作阀）：1套。</w:t>
            </w:r>
          </w:p>
          <w:p w14:paraId="1D0AE8F6">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3．供氧操作阀门：1套。</w:t>
            </w:r>
          </w:p>
          <w:p w14:paraId="158F20B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4．压力显示系统：4套。精密压力表1只。普通压力表1只。氧源压力表1只。供氧压力表1只。</w:t>
            </w:r>
          </w:p>
          <w:p w14:paraId="1F38508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5．全自动声光报警式测氧仪（配记录仪）：1台。</w:t>
            </w:r>
          </w:p>
          <w:p w14:paraId="6DEE29A5">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6．采样流量计：1套。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（3）分控台Ⅱ（治疗舱2）</w:t>
            </w:r>
          </w:p>
          <w:p w14:paraId="2B17521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1．加减压操作阀门（配新型手动机械式拉杆操作阀）：2套。加减压各1套。</w:t>
            </w:r>
          </w:p>
          <w:p w14:paraId="2DEAEEF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2．供氧操作阀门： 1套。</w:t>
            </w:r>
          </w:p>
          <w:p w14:paraId="4C8212F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3．压力显示系统 ：4套。精密压力表 ：1只。普通压力表 ：1只。供气压力表 ：1只。消防水压力表：1只。</w:t>
            </w:r>
          </w:p>
          <w:p w14:paraId="6BCAF03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4．全自动声光报警式测氧仪（配记录仪）：1台。</w:t>
            </w:r>
          </w:p>
          <w:p w14:paraId="6146AE86">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5．采样流量计：1套。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（4）分控台Ⅲ（过渡舱）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1．加减压操作阀门（配新型手动机械式拉杆操作阀）：2套。加减压各1套。</w:t>
            </w:r>
          </w:p>
          <w:p w14:paraId="3726F7B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2．供氧操作阀门 ： 1套。</w:t>
            </w:r>
          </w:p>
          <w:p w14:paraId="7AFD67D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3．压力显示系统：2套。精密压力表： 1只。普通压力表 ：1只。</w:t>
            </w:r>
          </w:p>
          <w:p w14:paraId="1F6F570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4．全自动声光报警式测氧仪（配记录仪）：1台。</w:t>
            </w:r>
          </w:p>
          <w:p w14:paraId="3034033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5．采样流量计：1套。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（三）加减压系统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1．静音型螺杆空压机：排气压力1.25MPa，排气量≥3.7m3/min：2台。</w:t>
            </w:r>
          </w:p>
          <w:p w14:paraId="4064C8E7">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2．配冷干机2台。</w:t>
            </w:r>
          </w:p>
          <w:p w14:paraId="10010C2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3．储气罐为：设计压力1.5MPa，最高工作压力1.4MPa，容积≥8m3，4台。</w:t>
            </w:r>
          </w:p>
          <w:p w14:paraId="64354DE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4．配气水分离器、空气过滤器进行多级过滤，保证进舱气体符合国家卫生学标准。</w:t>
            </w:r>
          </w:p>
          <w:p w14:paraId="56EA605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5．系统管路及阀件符合GB/T12130-2020《氧舱》标准要求。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（四）氧舱空气净化及进舱空气质量检测系统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1.要求进舱气体质量满足GB/T12130-2020《氧舱》标准中规定空气质量指标要求；</w:t>
            </w:r>
          </w:p>
          <w:p w14:paraId="4C9C0CF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2.要求设置检测系统，满足进舱气体质量检测需要；3.设置空气质量检测装置1台，安装在分控台上，要求可手动切换不同舱室进行检测；</w:t>
            </w:r>
          </w:p>
          <w:p w14:paraId="41FDD0F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4.吸附干燥机工作压力≤16bar；</w:t>
            </w:r>
          </w:p>
          <w:p w14:paraId="03A8BD3F">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5.空气质量检测系统要求可检测压缩空气中颗粒物、含水量及碳氢化合物。同时通道应以小粒径通道为主，以提高测量精度，保证测量数值准确度。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（五）供排氧系统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1．供氧方式：采用低阻力供氧方式，单人单管供氧流量计监控，加装供氧缓冲箱（储氧筒）。投标设备应采用氧舱低阻力吸氧相关技术；</w:t>
            </w:r>
          </w:p>
          <w:p w14:paraId="43A14E1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2．排氧方式：低阻力排氧方式。投标设备应采用氧舱低阻力排氧相关技术；</w:t>
            </w:r>
          </w:p>
          <w:p w14:paraId="25E56780">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3．系统管路及阀件符合GB/T12130-2020《氧舱》标准要求。</w:t>
            </w:r>
          </w:p>
          <w:p w14:paraId="288CEB2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舱内配设具有国际先进水准的多功能呼吸气体医疗模块。每组模块具备常规吸氧（呼吸调节器自动供氧）、无阻力一级吸氧、雾化吸氧和负压吸引接口及无触点感应式紧急呼叫报警装置五种功能。应采用氧舱多功能医疗模块相关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（六）空调系统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1．空调送风方式：采用永磁耦合感应传动送风方式。2．采用吸顶式空调，治疗舱1：2P：2台，治疗舱2：2P：2台，过渡舱2P：1台。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（七）电气控制柜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设立独立电气控制柜，对整套设备所有用电器进行控制，设立隔离变压器保护及备用电源2套。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（八）监控系统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1.配备彩色电视摄像监视系统10套，采用进口广角彩色摄像机10台，广角、低照度镜头10只， 23寸彩色液晶显示器4台。</w:t>
            </w:r>
          </w:p>
          <w:p w14:paraId="7C5E390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2.舱体外部正面加装不小于49寸LED液晶电视3台，每舱室1台，以满足实时显示舱内监视图像的需要。要求液晶电视与舱体一体化设计；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（九）消防系统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按GB/T12130-2020《氧舱》标准之要求，各舱室均配置水喷淋消防设施，要求喷水强度不小于50L/（m2.min），喷水动作响应时间不大于3s，并在操作控制台及舱内醒目位置设置快开式电动调节阀，以确保紧急状态下使用。</w:t>
            </w:r>
          </w:p>
          <w:p w14:paraId="6C0E8B1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2．配备消防水罐（工作压力：1.4MPa，容积：5m3）1台.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（十）计算机自动化操作控制系统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投标设备应具有自动操舱系统的著作专利；</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计算机自动化操作控制系统要求具备以下功能：</w:t>
            </w:r>
          </w:p>
          <w:p w14:paraId="2AA2AD55">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1．对加减压过程的程序化控制。</w:t>
            </w:r>
          </w:p>
          <w:p w14:paraId="6D0B149C">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2．智能排氧。</w:t>
            </w:r>
          </w:p>
          <w:p w14:paraId="155A5D5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3．氧浓度自动监控。</w:t>
            </w:r>
          </w:p>
          <w:p w14:paraId="4B8DE764">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4．故障自检功能。</w:t>
            </w:r>
          </w:p>
          <w:p w14:paraId="514A6EF5">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5．语音提示。</w:t>
            </w:r>
          </w:p>
          <w:p w14:paraId="467E5B12">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6．舱内压力自动保护。</w:t>
            </w:r>
          </w:p>
          <w:p w14:paraId="37049F1B">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7．智能记录。</w:t>
            </w:r>
          </w:p>
          <w:p w14:paraId="2CAA4933">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8．软件系统一键还原。</w:t>
            </w:r>
          </w:p>
          <w:p w14:paraId="3481D11A">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9．断电自保。</w:t>
            </w:r>
          </w:p>
          <w:p w14:paraId="1A156C8D">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10．记录、存档和打印。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三、设备各项性能指标必须达到或优于GB/T12130-2020《氧舱》和2016版TSG  24-2015《氧舱安全技术监察规程》。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四、投标人提供与本投标产品有关的专利证书。</w:t>
            </w:r>
          </w:p>
          <w:p w14:paraId="048FF700">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五</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投标设备必须具有特种设备生产许可证；</w:t>
            </w:r>
          </w:p>
          <w:p w14:paraId="3963A863">
            <w:pPr>
              <w:keepNext w:val="0"/>
              <w:keepLines w:val="0"/>
              <w:widowControl/>
              <w:numPr>
                <w:ilvl w:val="0"/>
                <w:numId w:val="0"/>
              </w:numPr>
              <w:suppressLineNumbers w:val="0"/>
              <w:ind w:firstLine="480" w:firstLineChars="20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具备特种设备生产许可证A5（医用氧舱）资质。</w:t>
            </w:r>
          </w:p>
        </w:tc>
        <w:tc>
          <w:tcPr>
            <w:tcW w:w="2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27B90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40EA83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867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5059C287">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3DA806">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428E3365">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7906C7">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67830A">
            <w:pPr>
              <w:jc w:val="center"/>
              <w:rPr>
                <w:rFonts w:hint="eastAsia" w:ascii="宋体" w:hAnsi="宋体" w:eastAsia="宋体" w:cs="宋体"/>
                <w:i w:val="0"/>
                <w:iCs w:val="0"/>
                <w:color w:val="000000"/>
                <w:sz w:val="24"/>
                <w:szCs w:val="24"/>
                <w:highlight w:val="none"/>
                <w:u w:val="none"/>
              </w:rPr>
            </w:pPr>
          </w:p>
        </w:tc>
      </w:tr>
      <w:tr w14:paraId="3007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5E8338F2">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890D6F">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427F2F75">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D7C74B">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6C00B7">
            <w:pPr>
              <w:jc w:val="center"/>
              <w:rPr>
                <w:rFonts w:hint="eastAsia" w:ascii="宋体" w:hAnsi="宋体" w:eastAsia="宋体" w:cs="宋体"/>
                <w:i w:val="0"/>
                <w:iCs w:val="0"/>
                <w:color w:val="000000"/>
                <w:sz w:val="24"/>
                <w:szCs w:val="24"/>
                <w:highlight w:val="none"/>
                <w:u w:val="none"/>
              </w:rPr>
            </w:pPr>
          </w:p>
        </w:tc>
      </w:tr>
      <w:tr w14:paraId="129B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ign w:val="center"/>
          </w:tcPr>
          <w:p w14:paraId="360927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709" w:type="pct"/>
            <w:vMerge w:val="restart"/>
            <w:tcBorders>
              <w:top w:val="single" w:color="000000" w:sz="4" w:space="0"/>
              <w:left w:val="single" w:color="000000" w:sz="4" w:space="0"/>
              <w:bottom w:val="single" w:color="000000" w:sz="4" w:space="0"/>
              <w:right w:val="single" w:color="000000" w:sz="4" w:space="0"/>
            </w:tcBorders>
            <w:noWrap w:val="0"/>
            <w:vAlign w:val="center"/>
          </w:tcPr>
          <w:p w14:paraId="353DFB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胃肠镜洗消工作站</w:t>
            </w:r>
          </w:p>
        </w:tc>
        <w:tc>
          <w:tcPr>
            <w:tcW w:w="3475" w:type="pct"/>
            <w:vMerge w:val="restart"/>
            <w:tcBorders>
              <w:top w:val="single" w:color="000000" w:sz="4" w:space="0"/>
              <w:left w:val="single" w:color="000000" w:sz="4" w:space="0"/>
              <w:bottom w:val="single" w:color="000000" w:sz="4" w:space="0"/>
              <w:right w:val="single" w:color="000000" w:sz="4" w:space="0"/>
            </w:tcBorders>
            <w:noWrap w:val="0"/>
            <w:vAlign w:val="top"/>
          </w:tcPr>
          <w:p w14:paraId="38924880">
            <w:pPr>
              <w:keepNext w:val="0"/>
              <w:keepLines w:val="0"/>
              <w:widowControl/>
              <w:numPr>
                <w:ilvl w:val="0"/>
                <w:numId w:val="35"/>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台面/清洗槽：台面和清洗槽采用防泛水设计，清洗溅到台面的液体会全部流入下水道。台面、清洗槽及功能背板都采用PMMA高分子材料分段式一体吸塑成型，该材料抗压强度高，弹性好，抗氧化，高度耐酸碱，细菌附着率极低，对内镜无磨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2、柜体/功能背板 ： 结构按功能作用形成分体组合，便于设备检修保养，柜体配制静音轴承滚轮，柜体采用纯不锈钢材质做支架，耐腐蚀抗强酸碱。功能背板采用进口PMMA高分子复合材料一体吸塑成型，与清洗槽及干燥台的材质和颜色相同，具有防腐防潮，不易生锈。功能支架为优质304不锈钢，下柜悬空设计,不形成台下卫生死角，便于清扫，符合院感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内镜干燥台：使用与清洗槽相同的进口高分子复合材料一次压铸而成，表面光洁、抗菌、耐磨及酸碱腐蚀；中间层吸收冲击，无锋角和接缝，对内镜及使用者起到保护作用，台面有条型凸起，增加表面的摩擦度，防止内镜或附件滑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干燥台尺寸：根据实际场地可作调整。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二、配置要求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 自动灌流系统≥6套：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①采用隐形设计，节省操作空间，有效防止内镜、洗消人员及自动灌流器本身的意外损伤；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②模块式设计，由操作面板、执行部件两部分组成，方便快速维修；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③在初洗、清洗、末洗流程中严格按《规范》要求，采用洁净的“一次水”灌流，避免二次感染；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④具有脉动注液、注气、吸引、有效保证内镜洗消达标；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⑤微电脑控制系统，各种数据可自行自由设定，体积小、运行稳定、快速；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⑥采用液晶中文显示屏操作面板，一键启动，操作简单，安全可靠；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⑦快速插接头设计位置位于清洗槽后方，操作更加方便自如，只需单手操作就可完成，浸泡时密封盖紧密贴合清洗槽，减少液体向外扩散；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2、内镜测漏装置 套 1 预清洗后，对内镜进行漏水测试，以确保其防水性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3、超静医用无油空气压缩机 台 1 采用无油活塞式设计，保证压缩气体中无油分子，配水气分离系统，压力调节范围为 0.2Mpa～0.8Mpa，气罐一次性储气量≧24L，主机气量≧60L/min，噪音≦70dB。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4、活动密封盖 个 2 采用透明亚克力面板吸塑成型有手柄，可以清洗看到灌流清洗的状况。密封盖紧密贴合清洗槽，防止酶液、消毒液挥发污染环境，盖子可移动。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 一体化供排水、电路系统 1套 隐藏式设计，安全可靠。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6、清洗喷枪（水源） 3套枪体采用一次冲压成型，高度耐酸碱，抗腐蚀性强，细菌附着率低。杜绝纯净空气通过枪体腔道的二次污染，防止枪体腔道腐蚀而产生的脱落物进入内镜腔道，从而造成内镜损坏。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7、挂钩是不锈钢材质，防酸碱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8、清洗喷枪（气源）3套枪体采用一次冲压成型，高度耐酸碱，抗腐蚀性强，细菌附着率低。压力：0～0.75MPa，由中心气体处理器精确调控气压，压力可准确显示数值，安全可靠。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9、含操作流程指示标牌和各清洗消毒槽的操作面板。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10、不锈钢304单水龙头抗强酸碱处理，所有管路具有耐腐蚀功能,转动式304不锈钢单水龙头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11、给排水系统 ：给水系统采用优质高压编织供水软管及管件；优质的PP-R冷热水管材和管件，符合GB/T 18742.2-2002中PP-R技术要求和SH-T 1750-2005技术要求。排水系统采用：优质PVC排水软管及PVC-U专用排水管及管件。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12、消毒液回收装置：具有消毒液回收装置，节省科室成本。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13、照明系统：背板顶部为白色圆型灯，用于清洗时辅助照明。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14、烘干机：用于镜体吹干，五级风量调节。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15、医疗快速接头：采用进口PCP材料，配有带自锁的接头，全部程序执行只需连接接头，无需拆卸全管道灌流器，方便、快捷。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16、灌流主板控制系统 ：控制系统运行稳定，整体美观大方，不占用空间，数字显示，计时定时，读数准确，操作简便。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17、中心电源盒 ：中心电源的控制，有效防止用电器在无人情况下出现异常。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18、空气过滤减压装置：气压调节范围：0～0.75Mpa，分离空气中的水分及其它杂质，为内镜洗消提供干燥纯净的压缩空气，并另外设有注气压力调节器,专为内镜腔道提供清洁而又安全的气压，不损伤昂贵的内镜。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19、水源过滤器：净化过滤水质更保证内镜清洗安全，可有效去除泥沙、颜色及细菌，达到中华人民共和国的饮用水标准。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20、灌流专用硅胶管： 采用优质硅胶原料，并以独特的挤出工艺制造而成，柔韧度极好，耐扭结不变形，具有很高的抗撕强度，具有无毒、耐高温、低温、寿命长，长时间使用不变硬、不变色、不变黄、等特点。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21、纱布架 ：用于放置清洗过程中的纱布等物品。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22、高灵敏度IC感应卡： 既可以用作灌流操作面板感应开关卡片，又可以用作追溯系统人员、器械身份绑定。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23、可添加追溯及信息管理系统，有端口。</w:t>
            </w:r>
          </w:p>
        </w:tc>
        <w:tc>
          <w:tcPr>
            <w:tcW w:w="245" w:type="pct"/>
            <w:vMerge w:val="restart"/>
            <w:tcBorders>
              <w:top w:val="single" w:color="000000" w:sz="4" w:space="0"/>
              <w:left w:val="single" w:color="000000" w:sz="4" w:space="0"/>
              <w:bottom w:val="single" w:color="000000" w:sz="4" w:space="0"/>
              <w:right w:val="single" w:color="000000" w:sz="4" w:space="0"/>
            </w:tcBorders>
            <w:noWrap w:val="0"/>
            <w:vAlign w:val="center"/>
          </w:tcPr>
          <w:p w14:paraId="22B49F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38AE26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BB3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1AFB4F06">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6BCDD4">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4BB933BA">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64BB69">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4AF100">
            <w:pPr>
              <w:jc w:val="center"/>
              <w:rPr>
                <w:rFonts w:hint="eastAsia" w:ascii="宋体" w:hAnsi="宋体" w:eastAsia="宋体" w:cs="宋体"/>
                <w:i w:val="0"/>
                <w:iCs w:val="0"/>
                <w:color w:val="000000"/>
                <w:sz w:val="24"/>
                <w:szCs w:val="24"/>
                <w:highlight w:val="none"/>
                <w:u w:val="none"/>
              </w:rPr>
            </w:pPr>
          </w:p>
        </w:tc>
      </w:tr>
      <w:tr w14:paraId="048D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ign w:val="center"/>
          </w:tcPr>
          <w:p w14:paraId="1A3377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709" w:type="pct"/>
            <w:vMerge w:val="restart"/>
            <w:tcBorders>
              <w:top w:val="single" w:color="000000" w:sz="4" w:space="0"/>
              <w:left w:val="single" w:color="000000" w:sz="4" w:space="0"/>
              <w:bottom w:val="single" w:color="000000" w:sz="4" w:space="0"/>
              <w:right w:val="single" w:color="000000" w:sz="4" w:space="0"/>
            </w:tcBorders>
            <w:noWrap w:val="0"/>
            <w:vAlign w:val="center"/>
          </w:tcPr>
          <w:p w14:paraId="1E702A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支气管镜洗消工作站</w:t>
            </w:r>
          </w:p>
        </w:tc>
        <w:tc>
          <w:tcPr>
            <w:tcW w:w="3475" w:type="pct"/>
            <w:vMerge w:val="restart"/>
            <w:tcBorders>
              <w:top w:val="single" w:color="000000" w:sz="4" w:space="0"/>
              <w:left w:val="single" w:color="000000" w:sz="4" w:space="0"/>
              <w:bottom w:val="single" w:color="000000" w:sz="4" w:space="0"/>
              <w:right w:val="single" w:color="000000" w:sz="4" w:space="0"/>
            </w:tcBorders>
            <w:noWrap w:val="0"/>
            <w:vAlign w:val="top"/>
          </w:tcPr>
          <w:p w14:paraId="4E7C303E">
            <w:pPr>
              <w:keepNext w:val="0"/>
              <w:keepLines w:val="0"/>
              <w:widowControl/>
              <w:numPr>
                <w:ilvl w:val="0"/>
                <w:numId w:val="36"/>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1、台面/清洗槽 ： 台面和清洗槽采用防泛水设计，清洗溅到台面的液体会全部流入下水道。台面、清洗槽及功能背板都采用PMMA高分子材料分段式一体吸塑成型，该材料抗压强度高，弹性好，抗氧化，高度耐酸碱，细菌附着率极低，对内镜无磨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2、柜体/功能背板 ： 结构按功能作用形成分体组合，便于设备检修保养，柜体配制静音轴承滚轮，柜体采用纯不锈钢材质做支架，耐腐蚀抗强酸碱。功能背板采用进口PMMA高分子复合材料一体吸塑成型，与清洗槽及干燥台的材质和颜色相同，具有防腐防潮，不易生锈。功能支架为优质304不锈钢，下柜悬空设计,不形成台下卫生死角，便于清扫，符合院感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内镜干燥台：使用与清洗槽相同的进口高分子复合材料一次压铸而成，表面光洁、抗菌、耐磨及酸碱腐蚀；中间层吸收冲击，无锋角和接缝，对内镜及使用者起到保护作用，台面有条型凸起，增加表面的摩擦度，防止内镜或附件滑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干燥台尺寸：根据实际场地可作调整。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二、配置要求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 自动灌流系统≥6套：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①采用隐形设计，节省操作空间，有效防止内镜、洗消人员及自动灌流器本身的意外损伤；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②模块式设计，由操作面板、执行部件两部分组成，方便快速维修；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③在初洗、清洗、末洗流程中严格按《规范》要求，采用洁净的“一次水”灌流，避免二次感染；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④具有脉动注液、注气、吸引、有效保证内镜洗消达标；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⑤微电脑控制系统，各种数据可自行自由设定，体积小、运行稳定、快速；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⑥采用液晶中文显示屏操作面板，一键启动，操作简单，安全可靠；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⑦快速插接头设计位置位于清洗槽后方，操作更加方便自如，只需单手操作就可完成，浸泡时密封盖紧密贴合清洗槽，减少液体向外扩散；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2、内镜测漏装置 套 1 预清洗后，对内镜进行漏水测试，以确保其防水性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3、超静医用无油空气压缩机 台 1 采用无油活塞式设计，保证压缩气体中无油分子，配水气分离系统，压力调节范围为 0.2Mpa～0.8Mpa，气罐一次性储气量≧24L，主机气量≧60L/min，噪音≦70dB。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4、活动密封盖 个 2 采用透明亚克力面板吸塑成型有手柄，可以清洗看到灌流清洗的状况。密封盖紧密贴合清洗槽，防止酶液、消毒液挥发污染环境，盖子可移动。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 一体化供排水、电路系统 1套 隐藏式设计，安全可靠。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6、清洗喷枪（水源） 3套枪体采用一次冲压成型，高度耐酸碱，抗腐蚀性强，细菌附着率低。杜绝纯净空气通过枪体腔道的二次污染，防止枪体腔道腐蚀而产生的脱落物进入内镜腔道，从而造成内镜损坏。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7、挂钩是不锈钢材质，防酸碱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8、清洗喷枪（气源）3套枪体采用一次冲压成型，高度耐酸碱，抗腐蚀性强，细菌附着率低。压力：0～0.75MPa，由中心气体处理器精确调控气压，压力可准确显示数值，安全可靠。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9、含操作流程指示标牌和各清洗消毒槽的操作面板。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10、不锈钢304单水龙头抗强酸碱处理，所有管路具有耐腐蚀功能,转动式304不锈钢单水龙头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11、给排水系统 ：给水系统采用优质高压编织供水软管及管件；优质的PP-R冷热水管材和管件，符合GB/T 18742.2-2002中PP-R技术要求和SH-T 1750-2005技术要求。排水系统采用：优质PVC排水软管及PVC-U专用排水管及管件。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12、消毒液回收装置：具有消毒液回收装置，节省科室成本。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13、照明系统：背板顶部为白色圆型灯，用于清洗时辅助照明。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14、烘干机：用于镜体吹干，五级风量调节。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15、医疗快速接头：采用进口PCP材料，配有带自锁的接头，全部程序执行只需连接接头，无需拆卸全管道灌流器，方便、快捷。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16、灌流主板控制系统 ：控制系统运行稳定，整体美观大方，不占用空间，数字显示，计时定时，读数准确，操作简便。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17、中心电源盒 ：中心电源的控制，有效防止用电器在无人情况下出现异常。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18、空气过滤减压装置：气压调节范围：0～0.75Mpa，分离空气中的水分及其它杂质，为内镜洗消提供干燥纯净的压缩空气，并另外设有注气压力调节器,专为内镜腔道提供清洁而又安全的气压，不损伤昂贵的内镜。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19、水源过滤器：净化过滤水质更保证内镜清洗安全，可有效去除泥沙、颜色及细菌，达到中华人民共和国的饮用水标准。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20、灌流专用硅胶管： 采用优质硅胶原料，并以独特的挤出工艺制造而成，柔韧度极好，耐扭结不变形，具有很高的抗撕强度，具有无毒、耐高温、低温、寿命长，长时间使用不变硬、不变色、不变黄、等特点。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21、纱布架 ：用于放置清洗过程中的纱布等物品。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22、高灵敏度IC感应卡： 既可以用作灌流操作面板感应开关卡片，又可以用作追溯系统人员、器械身份绑定。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23、可添加追溯及信息管理系统，有端口。</w:t>
            </w:r>
          </w:p>
        </w:tc>
        <w:tc>
          <w:tcPr>
            <w:tcW w:w="245" w:type="pct"/>
            <w:vMerge w:val="restart"/>
            <w:tcBorders>
              <w:top w:val="single" w:color="000000" w:sz="4" w:space="0"/>
              <w:left w:val="single" w:color="000000" w:sz="4" w:space="0"/>
              <w:bottom w:val="single" w:color="000000" w:sz="4" w:space="0"/>
              <w:right w:val="single" w:color="000000" w:sz="4" w:space="0"/>
            </w:tcBorders>
            <w:noWrap w:val="0"/>
            <w:vAlign w:val="center"/>
          </w:tcPr>
          <w:p w14:paraId="5C711E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288" w:type="pct"/>
            <w:vMerge w:val="restart"/>
            <w:tcBorders>
              <w:top w:val="single" w:color="000000" w:sz="4" w:space="0"/>
              <w:left w:val="single" w:color="000000" w:sz="4" w:space="0"/>
              <w:bottom w:val="single" w:color="000000" w:sz="4" w:space="0"/>
              <w:right w:val="single" w:color="000000" w:sz="4" w:space="0"/>
            </w:tcBorders>
            <w:noWrap w:val="0"/>
            <w:vAlign w:val="center"/>
          </w:tcPr>
          <w:p w14:paraId="7CACEE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A05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6"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ign w:val="center"/>
          </w:tcPr>
          <w:p w14:paraId="4E5D25EE">
            <w:pPr>
              <w:jc w:val="center"/>
              <w:rPr>
                <w:rFonts w:hint="eastAsia" w:ascii="宋体" w:hAnsi="宋体" w:eastAsia="宋体" w:cs="宋体"/>
                <w:i w:val="0"/>
                <w:iCs w:val="0"/>
                <w:color w:val="000000"/>
                <w:sz w:val="24"/>
                <w:szCs w:val="24"/>
                <w:highlight w:val="none"/>
                <w:u w:val="none"/>
              </w:rPr>
            </w:pPr>
          </w:p>
        </w:tc>
        <w:tc>
          <w:tcPr>
            <w:tcW w:w="7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569D25">
            <w:pPr>
              <w:jc w:val="center"/>
              <w:rPr>
                <w:rFonts w:hint="eastAsia" w:ascii="宋体" w:hAnsi="宋体" w:eastAsia="宋体" w:cs="宋体"/>
                <w:i w:val="0"/>
                <w:iCs w:val="0"/>
                <w:color w:val="000000"/>
                <w:sz w:val="24"/>
                <w:szCs w:val="24"/>
                <w:highlight w:val="none"/>
                <w:u w:val="none"/>
              </w:rPr>
            </w:pPr>
          </w:p>
        </w:tc>
        <w:tc>
          <w:tcPr>
            <w:tcW w:w="3475" w:type="pct"/>
            <w:vMerge w:val="continue"/>
            <w:tcBorders>
              <w:top w:val="single" w:color="000000" w:sz="4" w:space="0"/>
              <w:left w:val="single" w:color="000000" w:sz="4" w:space="0"/>
              <w:bottom w:val="single" w:color="000000" w:sz="4" w:space="0"/>
              <w:right w:val="single" w:color="000000" w:sz="4" w:space="0"/>
            </w:tcBorders>
            <w:noWrap w:val="0"/>
            <w:vAlign w:val="top"/>
          </w:tcPr>
          <w:p w14:paraId="03C76A3A">
            <w:pPr>
              <w:jc w:val="left"/>
              <w:rPr>
                <w:rFonts w:hint="eastAsia" w:ascii="宋体" w:hAnsi="宋体" w:eastAsia="宋体" w:cs="宋体"/>
                <w:i w:val="0"/>
                <w:iCs w:val="0"/>
                <w:color w:val="000000"/>
                <w:sz w:val="24"/>
                <w:szCs w:val="24"/>
                <w:highlight w:val="none"/>
                <w:u w:val="none"/>
              </w:rPr>
            </w:pPr>
          </w:p>
        </w:tc>
        <w:tc>
          <w:tcPr>
            <w:tcW w:w="2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ABC031">
            <w:pPr>
              <w:jc w:val="center"/>
              <w:rPr>
                <w:rFonts w:hint="eastAsia" w:ascii="宋体" w:hAnsi="宋体" w:eastAsia="宋体" w:cs="宋体"/>
                <w:i w:val="0"/>
                <w:iCs w:val="0"/>
                <w:color w:val="000000"/>
                <w:sz w:val="24"/>
                <w:szCs w:val="24"/>
                <w:highlight w:val="none"/>
                <w:u w:val="none"/>
              </w:rPr>
            </w:pPr>
          </w:p>
        </w:tc>
        <w:tc>
          <w:tcPr>
            <w:tcW w:w="2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99C731">
            <w:pPr>
              <w:jc w:val="center"/>
              <w:rPr>
                <w:rFonts w:hint="eastAsia" w:ascii="宋体" w:hAnsi="宋体" w:eastAsia="宋体" w:cs="宋体"/>
                <w:i w:val="0"/>
                <w:iCs w:val="0"/>
                <w:color w:val="000000"/>
                <w:sz w:val="24"/>
                <w:szCs w:val="24"/>
                <w:highlight w:val="none"/>
                <w:u w:val="none"/>
              </w:rPr>
            </w:pPr>
          </w:p>
        </w:tc>
      </w:tr>
    </w:tbl>
    <w:p w14:paraId="1BE036B8">
      <w:pPr>
        <w:rPr>
          <w:rFonts w:hint="default"/>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本标段所投产品属于医疗设备的需提供</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医疗器械备案凭证</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或者</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医疗器械注册证</w:t>
      </w: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w:t>
      </w:r>
    </w:p>
    <w:p w14:paraId="6FE3E710"/>
    <w:p w14:paraId="32F21CB5">
      <w:pPr>
        <w:rPr>
          <w:rFonts w:hint="eastAsia"/>
          <w:b/>
          <w:bCs/>
          <w:sz w:val="32"/>
          <w:szCs w:val="40"/>
          <w:highlight w:val="none"/>
        </w:rPr>
      </w:pPr>
      <w:r>
        <w:rPr>
          <w:rFonts w:hint="eastAsia"/>
          <w:b/>
          <w:bCs/>
          <w:sz w:val="32"/>
          <w:szCs w:val="40"/>
          <w:highlight w:val="none"/>
        </w:rPr>
        <w:br w:type="page"/>
      </w:r>
    </w:p>
    <w:p w14:paraId="04A08063">
      <w:pPr>
        <w:jc w:val="center"/>
        <w:rPr>
          <w:rFonts w:hint="eastAsia"/>
          <w:b/>
          <w:bCs/>
          <w:sz w:val="32"/>
          <w:szCs w:val="40"/>
          <w:highlight w:val="none"/>
        </w:rPr>
      </w:pPr>
      <w:r>
        <w:rPr>
          <w:rFonts w:hint="eastAsia"/>
          <w:b/>
          <w:bCs/>
          <w:sz w:val="32"/>
          <w:szCs w:val="40"/>
          <w:highlight w:val="none"/>
        </w:rPr>
        <w:t>第</w:t>
      </w:r>
      <w:r>
        <w:rPr>
          <w:rFonts w:hint="eastAsia"/>
          <w:b/>
          <w:bCs/>
          <w:sz w:val="32"/>
          <w:szCs w:val="40"/>
          <w:highlight w:val="none"/>
          <w:lang w:val="en-US" w:eastAsia="zh-CN"/>
        </w:rPr>
        <w:t>五</w:t>
      </w:r>
      <w:r>
        <w:rPr>
          <w:rFonts w:hint="eastAsia"/>
          <w:b/>
          <w:bCs/>
          <w:sz w:val="32"/>
          <w:szCs w:val="40"/>
          <w:highlight w:val="none"/>
        </w:rPr>
        <w:t>章 合同条款及格式</w:t>
      </w:r>
      <w:bookmarkEnd w:id="13"/>
    </w:p>
    <w:p w14:paraId="51DA602C">
      <w:pPr>
        <w:bidi w:val="0"/>
        <w:jc w:val="center"/>
        <w:rPr>
          <w:rFonts w:hint="eastAsia"/>
          <w:b/>
          <w:bCs/>
          <w:sz w:val="32"/>
          <w:szCs w:val="40"/>
          <w:highlight w:val="none"/>
          <w:lang w:val="en-US" w:eastAsia="zh-CN"/>
        </w:rPr>
      </w:pPr>
      <w:bookmarkStart w:id="34" w:name="_Toc432410311"/>
      <w:bookmarkStart w:id="35" w:name="_Toc3195"/>
    </w:p>
    <w:bookmarkEnd w:id="34"/>
    <w:bookmarkEnd w:id="35"/>
    <w:p w14:paraId="1C7D1C4E">
      <w:pPr>
        <w:pStyle w:val="2"/>
        <w:numPr>
          <w:ilvl w:val="0"/>
          <w:numId w:val="0"/>
        </w:numPr>
        <w:spacing w:line="360" w:lineRule="auto"/>
        <w:jc w:val="center"/>
        <w:rPr>
          <w:rFonts w:hint="eastAsia" w:ascii="宋体" w:hAnsi="宋体" w:eastAsia="宋体" w:cs="宋体"/>
          <w:b w:val="0"/>
          <w:bCs w:val="0"/>
          <w:color w:val="auto"/>
          <w:sz w:val="28"/>
          <w:szCs w:val="20"/>
          <w:highlight w:val="none"/>
        </w:rPr>
      </w:pPr>
      <w:bookmarkStart w:id="36" w:name="_Toc31386"/>
      <w:r>
        <w:rPr>
          <w:rFonts w:hint="eastAsia" w:ascii="宋体" w:hAnsi="宋体" w:eastAsia="宋体" w:cs="宋体"/>
          <w:b w:val="0"/>
          <w:bCs w:val="0"/>
          <w:color w:val="auto"/>
          <w:sz w:val="28"/>
          <w:szCs w:val="20"/>
          <w:highlight w:val="none"/>
          <w:lang w:eastAsia="zh-CN"/>
        </w:rPr>
        <w:t>（</w:t>
      </w:r>
      <w:r>
        <w:rPr>
          <w:rFonts w:hint="eastAsia" w:ascii="宋体" w:hAnsi="宋体" w:cs="宋体"/>
          <w:b w:val="0"/>
          <w:bCs w:val="0"/>
          <w:color w:val="auto"/>
          <w:sz w:val="28"/>
          <w:szCs w:val="20"/>
          <w:highlight w:val="none"/>
          <w:lang w:val="en-US" w:eastAsia="zh-CN"/>
        </w:rPr>
        <w:t>仅供参考，</w:t>
      </w:r>
      <w:r>
        <w:rPr>
          <w:rFonts w:hint="eastAsia" w:ascii="宋体" w:hAnsi="宋体" w:eastAsia="宋体" w:cs="宋体"/>
          <w:b w:val="0"/>
          <w:bCs w:val="0"/>
          <w:color w:val="auto"/>
          <w:sz w:val="28"/>
          <w:szCs w:val="20"/>
          <w:highlight w:val="none"/>
          <w:lang w:val="en-US" w:eastAsia="zh-CN"/>
        </w:rPr>
        <w:t>以实际签订为准</w:t>
      </w:r>
      <w:r>
        <w:rPr>
          <w:rFonts w:hint="eastAsia" w:ascii="宋体" w:hAnsi="宋体" w:eastAsia="宋体" w:cs="宋体"/>
          <w:b w:val="0"/>
          <w:bCs w:val="0"/>
          <w:color w:val="auto"/>
          <w:sz w:val="28"/>
          <w:szCs w:val="20"/>
          <w:highlight w:val="none"/>
          <w:lang w:eastAsia="zh-CN"/>
        </w:rPr>
        <w:t>）</w:t>
      </w:r>
    </w:p>
    <w:p w14:paraId="1F3002B1">
      <w:pPr>
        <w:pStyle w:val="3"/>
        <w:rPr>
          <w:rFonts w:hint="eastAsia" w:ascii="宋体" w:hAnsi="宋体" w:eastAsia="宋体" w:cs="宋体"/>
          <w:color w:val="auto"/>
          <w:sz w:val="24"/>
          <w:highlight w:val="none"/>
        </w:rPr>
      </w:pPr>
    </w:p>
    <w:p w14:paraId="2F39F3AF">
      <w:pPr>
        <w:spacing w:line="480" w:lineRule="exact"/>
        <w:ind w:firstLine="480" w:firstLineChars="200"/>
        <w:rPr>
          <w:rFonts w:hint="eastAsia" w:ascii="宋体" w:hAnsi="宋体" w:cs="宋体"/>
          <w:color w:val="auto"/>
          <w:sz w:val="24"/>
          <w:highlight w:val="none"/>
        </w:rPr>
      </w:pPr>
    </w:p>
    <w:p w14:paraId="4FC08E7C">
      <w:pPr>
        <w:spacing w:line="480" w:lineRule="exact"/>
        <w:ind w:firstLine="480" w:firstLineChars="200"/>
        <w:rPr>
          <w:rFonts w:hint="eastAsia" w:ascii="宋体" w:hAnsi="宋体" w:cs="宋体"/>
          <w:color w:val="auto"/>
          <w:sz w:val="24"/>
          <w:highlight w:val="none"/>
        </w:rPr>
      </w:pPr>
    </w:p>
    <w:p w14:paraId="24E7D889">
      <w:pPr>
        <w:spacing w:line="480" w:lineRule="exact"/>
        <w:ind w:firstLine="480" w:firstLineChars="200"/>
        <w:rPr>
          <w:rFonts w:hint="eastAsia" w:ascii="宋体" w:hAnsi="宋体" w:cs="宋体"/>
          <w:color w:val="auto"/>
          <w:sz w:val="24"/>
          <w:highlight w:val="none"/>
        </w:rPr>
      </w:pPr>
    </w:p>
    <w:p w14:paraId="2020BD44">
      <w:pPr>
        <w:spacing w:line="480" w:lineRule="exact"/>
        <w:ind w:firstLine="480" w:firstLineChars="200"/>
        <w:rPr>
          <w:rFonts w:hint="eastAsia" w:ascii="宋体" w:hAnsi="宋体" w:cs="宋体"/>
          <w:color w:val="auto"/>
          <w:sz w:val="24"/>
          <w:highlight w:val="none"/>
        </w:rPr>
      </w:pPr>
    </w:p>
    <w:p w14:paraId="4F193BF3">
      <w:pPr>
        <w:spacing w:line="480" w:lineRule="exact"/>
        <w:ind w:firstLine="480" w:firstLineChars="200"/>
        <w:rPr>
          <w:rFonts w:hint="eastAsia" w:ascii="宋体" w:hAnsi="宋体" w:cs="宋体"/>
          <w:color w:val="auto"/>
          <w:sz w:val="24"/>
          <w:highlight w:val="none"/>
        </w:rPr>
      </w:pPr>
    </w:p>
    <w:p w14:paraId="30611B99">
      <w:pPr>
        <w:spacing w:line="480" w:lineRule="exact"/>
        <w:ind w:firstLine="480" w:firstLineChars="200"/>
        <w:rPr>
          <w:rFonts w:hint="eastAsia" w:ascii="宋体" w:hAnsi="宋体" w:cs="宋体"/>
          <w:color w:val="auto"/>
          <w:sz w:val="24"/>
          <w:highlight w:val="none"/>
        </w:rPr>
      </w:pPr>
    </w:p>
    <w:p w14:paraId="05E8CC93">
      <w:pPr>
        <w:spacing w:line="480" w:lineRule="exact"/>
        <w:ind w:firstLine="480" w:firstLineChars="200"/>
        <w:rPr>
          <w:rFonts w:hint="eastAsia" w:ascii="宋体" w:hAnsi="宋体" w:cs="宋体"/>
          <w:color w:val="auto"/>
          <w:sz w:val="24"/>
          <w:highlight w:val="none"/>
        </w:rPr>
      </w:pPr>
    </w:p>
    <w:p w14:paraId="7EAB005D">
      <w:pPr>
        <w:spacing w:line="480" w:lineRule="exact"/>
        <w:ind w:firstLine="480" w:firstLineChars="200"/>
        <w:rPr>
          <w:rFonts w:hint="eastAsia" w:ascii="宋体" w:hAnsi="宋体" w:cs="宋体"/>
          <w:color w:val="auto"/>
          <w:sz w:val="24"/>
          <w:highlight w:val="none"/>
        </w:rPr>
      </w:pPr>
    </w:p>
    <w:p w14:paraId="6632DBFF">
      <w:pPr>
        <w:spacing w:line="480" w:lineRule="exact"/>
        <w:ind w:firstLine="480" w:firstLineChars="200"/>
        <w:rPr>
          <w:rFonts w:hint="eastAsia" w:ascii="宋体" w:hAnsi="宋体" w:cs="宋体"/>
          <w:color w:val="auto"/>
          <w:sz w:val="24"/>
          <w:highlight w:val="none"/>
        </w:rPr>
      </w:pPr>
    </w:p>
    <w:p w14:paraId="742EAACD">
      <w:pPr>
        <w:spacing w:line="480" w:lineRule="exact"/>
        <w:rPr>
          <w:rFonts w:hint="eastAsia" w:ascii="宋体" w:hAnsi="宋体" w:cs="宋体"/>
          <w:color w:val="auto"/>
          <w:sz w:val="24"/>
          <w:highlight w:val="none"/>
        </w:rPr>
      </w:pPr>
    </w:p>
    <w:p w14:paraId="1B297D7D">
      <w:pPr>
        <w:spacing w:line="480" w:lineRule="exact"/>
        <w:rPr>
          <w:rFonts w:hint="eastAsia" w:ascii="宋体" w:hAnsi="宋体" w:cs="宋体"/>
          <w:color w:val="auto"/>
          <w:sz w:val="24"/>
          <w:highlight w:val="none"/>
        </w:rPr>
      </w:pPr>
    </w:p>
    <w:p w14:paraId="0919669E">
      <w:pPr>
        <w:spacing w:line="480" w:lineRule="exact"/>
        <w:rPr>
          <w:rFonts w:hint="eastAsia" w:ascii="宋体" w:hAnsi="宋体" w:cs="宋体"/>
          <w:color w:val="auto"/>
          <w:sz w:val="24"/>
          <w:highlight w:val="none"/>
        </w:rPr>
      </w:pPr>
    </w:p>
    <w:p w14:paraId="12B207F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cs="宋体"/>
          <w:color w:val="auto"/>
          <w:kern w:val="0"/>
          <w:sz w:val="24"/>
          <w:highlight w:val="none"/>
        </w:rPr>
      </w:pPr>
    </w:p>
    <w:p w14:paraId="2F57D2BE">
      <w:pPr>
        <w:pStyle w:val="23"/>
        <w:rPr>
          <w:rFonts w:hint="eastAsia"/>
          <w:color w:val="auto"/>
          <w:highlight w:val="none"/>
        </w:rPr>
      </w:pPr>
    </w:p>
    <w:p w14:paraId="000A6A48">
      <w:pPr>
        <w:jc w:val="center"/>
        <w:rPr>
          <w:rFonts w:hint="eastAsia" w:ascii="宋体" w:hAnsi="宋体" w:cs="宋体"/>
          <w:b/>
          <w:bCs/>
          <w:color w:val="auto"/>
          <w:sz w:val="24"/>
          <w:szCs w:val="28"/>
          <w:highlight w:val="none"/>
        </w:rPr>
      </w:pPr>
    </w:p>
    <w:p w14:paraId="69BFF672">
      <w:pPr>
        <w:jc w:val="center"/>
        <w:rPr>
          <w:rFonts w:hint="eastAsia" w:ascii="宋体" w:hAnsi="宋体" w:cs="宋体"/>
          <w:b/>
          <w:bCs/>
          <w:color w:val="auto"/>
          <w:sz w:val="24"/>
          <w:szCs w:val="28"/>
          <w:highlight w:val="none"/>
        </w:rPr>
      </w:pPr>
    </w:p>
    <w:p w14:paraId="38951E9B">
      <w:pPr>
        <w:jc w:val="both"/>
        <w:rPr>
          <w:rFonts w:hint="eastAsia" w:ascii="宋体" w:hAnsi="宋体" w:cs="宋体"/>
          <w:b/>
          <w:bCs/>
          <w:color w:val="auto"/>
          <w:sz w:val="24"/>
          <w:szCs w:val="28"/>
          <w:highlight w:val="none"/>
        </w:rPr>
      </w:pPr>
    </w:p>
    <w:p w14:paraId="5FE6F6E3">
      <w:pPr>
        <w:jc w:val="center"/>
        <w:rPr>
          <w:rFonts w:hint="eastAsia" w:ascii="宋体" w:hAnsi="宋体" w:eastAsia="宋体" w:cs="宋体"/>
          <w:b/>
          <w:bCs/>
          <w:color w:val="auto"/>
          <w:sz w:val="24"/>
          <w:szCs w:val="28"/>
          <w:highlight w:val="none"/>
        </w:rPr>
      </w:pPr>
      <w:r>
        <w:rPr>
          <w:rFonts w:hint="eastAsia" w:ascii="宋体" w:hAnsi="宋体"/>
          <w:b/>
          <w:bCs/>
          <w:color w:val="auto"/>
          <w:kern w:val="0"/>
          <w:szCs w:val="28"/>
          <w:highlight w:val="none"/>
        </w:rPr>
        <w:br w:type="page"/>
      </w:r>
      <w:r>
        <w:rPr>
          <w:rFonts w:hint="eastAsia" w:ascii="宋体" w:hAnsi="宋体"/>
          <w:b/>
          <w:bCs/>
          <w:color w:val="auto"/>
          <w:kern w:val="0"/>
          <w:szCs w:val="28"/>
          <w:highlight w:val="none"/>
        </w:rPr>
        <w:t xml:space="preserve">      </w:t>
      </w:r>
      <w:r>
        <w:rPr>
          <w:rFonts w:hint="eastAsia" w:ascii="宋体" w:hAnsi="宋体" w:eastAsia="宋体" w:cs="宋体"/>
          <w:b/>
          <w:bCs/>
          <w:color w:val="auto"/>
          <w:sz w:val="24"/>
          <w:szCs w:val="28"/>
          <w:highlight w:val="none"/>
        </w:rPr>
        <w:t>一、合同（一般条款）</w:t>
      </w:r>
    </w:p>
    <w:p w14:paraId="4A6D113F">
      <w:pPr>
        <w:numPr>
          <w:ilvl w:val="0"/>
          <w:numId w:val="37"/>
        </w:num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招标文件、中标通知书、中标文件是构成本合同的一部分。</w:t>
      </w:r>
    </w:p>
    <w:p w14:paraId="2395205F">
      <w:pPr>
        <w:numPr>
          <w:ilvl w:val="0"/>
          <w:numId w:val="37"/>
        </w:num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货物和服务的名称、技术规范和数量</w:t>
      </w:r>
    </w:p>
    <w:p w14:paraId="61F28499">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应与中标通知书、招标文件及被采购人接受的规格性能偏离表，相一致。</w:t>
      </w:r>
    </w:p>
    <w:p w14:paraId="06B73963">
      <w:pPr>
        <w:numPr>
          <w:ilvl w:val="0"/>
          <w:numId w:val="37"/>
        </w:numPr>
        <w:spacing w:line="46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货物和服务的质量、技术标准</w:t>
      </w:r>
    </w:p>
    <w:p w14:paraId="7F24103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合同货物和服务的质量、技术标准如在招标文件中无相应说明，则按中华人民共和国有关部门颁发的最新的国标或专业（部）标准执行及相应的国际标准。没有国家或专业(部)标准的，按企业标准执行。</w:t>
      </w:r>
    </w:p>
    <w:p w14:paraId="4D791961">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 专利权：投标人对—切可能的侵权指控负责。</w:t>
      </w:r>
    </w:p>
    <w:p w14:paraId="57A53410">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五）风险责任</w:t>
      </w:r>
    </w:p>
    <w:p w14:paraId="2628BEA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执行本合同的过程中，确因在现有水平和条件下难以克服的技术困难，导致部分或全部失败所造成的损失，风险责任由中标人全部承担。</w:t>
      </w:r>
    </w:p>
    <w:p w14:paraId="1DBCFB36">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 无瑕疵条款</w:t>
      </w:r>
    </w:p>
    <w:p w14:paraId="7BE4CD5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中标人在交付货物和服务后发现有瑕疵或漏项的，中标人应负担由此而产生的一切损失。</w:t>
      </w:r>
    </w:p>
    <w:p w14:paraId="6374922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 质量保证</w:t>
      </w:r>
    </w:p>
    <w:p w14:paraId="641D80D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1、中标人必须保证系统的正常安全运行。</w:t>
      </w:r>
    </w:p>
    <w:p w14:paraId="10D15EE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2、中标人除进行系统开发或进行维护外，不得利用采购人的软硬件资源和信息资源用于其他任何目的的用途。</w:t>
      </w:r>
    </w:p>
    <w:p w14:paraId="65C2357A">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3、在投标承诺的相应的专业技术人员、维护人员，无特殊情况且未经采购人同意，不得调换和撤离。</w:t>
      </w:r>
    </w:p>
    <w:p w14:paraId="7A96428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验收、维护应严格按已确认的系统方案组织实施，并接受采购人对质量、进度、技术方案、价款支付与结算审核等的管理和监督。</w:t>
      </w:r>
    </w:p>
    <w:p w14:paraId="1021DF21">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 质量保证期</w:t>
      </w:r>
    </w:p>
    <w:p w14:paraId="7B0FC77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中标人提供货物的质量保证期为自货物验收合格之日起</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年内。</w:t>
      </w:r>
    </w:p>
    <w:p w14:paraId="08DA85F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 合同转让和分包</w:t>
      </w:r>
    </w:p>
    <w:p w14:paraId="7419D73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未经采购人书面同意，中标人不得将合同(全部或部分)转包给第三方。</w:t>
      </w:r>
    </w:p>
    <w:p w14:paraId="26E238C9">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 合同修改 ：采购人与中标人双方的任何一方对合同内容提出修改，均应以书面形式通知对方，并达成由双方签署的合同修改书。</w:t>
      </w:r>
    </w:p>
    <w:p w14:paraId="63AD4C3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 违约责任</w:t>
      </w:r>
    </w:p>
    <w:p w14:paraId="50551D5C">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1、中标人在接到采购人通知后应按照招标文件服务承诺书中要求执行。</w:t>
      </w:r>
    </w:p>
    <w:p w14:paraId="17CEF41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2、附随服务缺陷视作产品质量缺陷和逾期交货。</w:t>
      </w:r>
    </w:p>
    <w:p w14:paraId="7DEEA0B7">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3、在维护过程中，要保证数据的安全性。若发生数据丢失、泄密的情况，采购人保留向中标人索赔，直至追究刑事责任的权力。</w:t>
      </w:r>
    </w:p>
    <w:p w14:paraId="6E9CC5A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4、双方任一方如不依本合同履行导致合同被解除的，则违约方应向守约方支付合同总金额的5%作为违约金。</w:t>
      </w:r>
    </w:p>
    <w:p w14:paraId="4E13628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5、如在使用过程中发生质量问题，中标人在接到采购人电话后没有按照服务承诺书中要求服务到位的, 每违约一次中标人应向采购人支付</w:t>
      </w:r>
      <w:r>
        <w:rPr>
          <w:rFonts w:hint="eastAsia" w:ascii="宋体" w:hAnsi="宋体" w:eastAsia="宋体" w:cs="宋体"/>
          <w:color w:val="auto"/>
          <w:sz w:val="24"/>
          <w:highlight w:val="none"/>
          <w:u w:val="single"/>
        </w:rPr>
        <w:t>2000</w:t>
      </w:r>
      <w:r>
        <w:rPr>
          <w:rFonts w:hint="eastAsia" w:ascii="宋体" w:hAnsi="宋体" w:eastAsia="宋体" w:cs="宋体"/>
          <w:color w:val="auto"/>
          <w:sz w:val="24"/>
          <w:highlight w:val="none"/>
        </w:rPr>
        <w:t>元作为违约金。</w:t>
      </w:r>
    </w:p>
    <w:p w14:paraId="19B94CB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十二）违约赔偿</w:t>
      </w:r>
    </w:p>
    <w:p w14:paraId="4C24263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1中标人逾期交货，每逾期—天偿付违约金</w:t>
      </w:r>
      <w:r>
        <w:rPr>
          <w:rFonts w:hint="eastAsia" w:ascii="宋体" w:hAnsi="宋体" w:eastAsia="宋体" w:cs="宋体"/>
          <w:color w:val="auto"/>
          <w:sz w:val="24"/>
          <w:highlight w:val="none"/>
          <w:u w:val="single"/>
        </w:rPr>
        <w:t>1000</w:t>
      </w:r>
      <w:r>
        <w:rPr>
          <w:rFonts w:hint="eastAsia" w:ascii="宋体" w:hAnsi="宋体" w:eastAsia="宋体" w:cs="宋体"/>
          <w:color w:val="auto"/>
          <w:sz w:val="24"/>
          <w:highlight w:val="none"/>
        </w:rPr>
        <w:t>元。</w:t>
      </w:r>
    </w:p>
    <w:p w14:paraId="26B60BB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2逾期交货达到30天仍不能交货的，采购人有权终止合同，中标人应承担由此产生的一切损失（包括直接损失和间接损失）。</w:t>
      </w:r>
    </w:p>
    <w:p w14:paraId="22C7AE91">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3经采购人和中标人双方协商同意延期交货和经双方友好协商同意退货且无需罚款者不在此例。</w:t>
      </w:r>
    </w:p>
    <w:p w14:paraId="63772D2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十三）违约终止合同</w:t>
      </w:r>
    </w:p>
    <w:p w14:paraId="05C1C8D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采购人在中标人存在如下违约情况时，有权考虑并提出终止全部或部分合同。</w:t>
      </w:r>
    </w:p>
    <w:p w14:paraId="1A24D0E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1中标人未能在合同规定期限或采购人同意延长的期限内交付全部或部分货物。</w:t>
      </w:r>
    </w:p>
    <w:p w14:paraId="506E411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2中标人未能履行合同规定的其他义务。</w:t>
      </w:r>
    </w:p>
    <w:p w14:paraId="1D52CFC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3在发生上述情况后，中标人收到采购人的违约通知后10天内未能纠正其过失。</w:t>
      </w:r>
    </w:p>
    <w:p w14:paraId="7FC1C148">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十四）法律责任</w:t>
      </w:r>
    </w:p>
    <w:p w14:paraId="3AC5F3B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1、凡有关本合同或执行本合同中发生的争端，采购人和中标人双方应通过友好协商，妥善解决。如通过协商仍不能解决时，可向合同履行地人民法院提起诉讼请求。</w:t>
      </w:r>
    </w:p>
    <w:p w14:paraId="407F312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2、诉讼费用由败诉方承担。</w:t>
      </w:r>
    </w:p>
    <w:p w14:paraId="211C3497">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3、在诉讼期间，除正在进行诉讼的部分外，本合同其他部分应继续执行。</w:t>
      </w:r>
    </w:p>
    <w:p w14:paraId="05CEEFB3">
      <w:pPr>
        <w:spacing w:line="46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二、合同主要条款</w:t>
      </w:r>
    </w:p>
    <w:p w14:paraId="11BFC6F7">
      <w:pPr>
        <w:jc w:val="center"/>
        <w:rPr>
          <w:rFonts w:hint="eastAsia" w:ascii="宋体" w:hAnsi="宋体" w:eastAsia="宋体" w:cs="宋体"/>
          <w:b/>
          <w:bCs/>
          <w:color w:val="auto"/>
          <w:sz w:val="24"/>
          <w:highlight w:val="none"/>
        </w:rPr>
      </w:pPr>
    </w:p>
    <w:p w14:paraId="49CB3200">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1EFDC7E1">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DAAE9C5">
      <w:pPr>
        <w:spacing w:line="500" w:lineRule="exact"/>
        <w:ind w:right="-313" w:rightChars="-149"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本合同执行《中华人民共和国合同法》及采购编号为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的中标结果，经双方协商一致，并同意签订下列条款：</w:t>
      </w:r>
    </w:p>
    <w:p w14:paraId="7BDF2855">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一）货物名称及规格型号、数量、价格等</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275"/>
        <w:gridCol w:w="1455"/>
        <w:gridCol w:w="1035"/>
        <w:gridCol w:w="1110"/>
        <w:gridCol w:w="1335"/>
        <w:gridCol w:w="1455"/>
      </w:tblGrid>
      <w:tr w14:paraId="2152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noWrap w:val="0"/>
            <w:vAlign w:val="center"/>
          </w:tcPr>
          <w:p w14:paraId="6670A27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275" w:type="dxa"/>
            <w:noWrap w:val="0"/>
            <w:vAlign w:val="center"/>
          </w:tcPr>
          <w:p w14:paraId="522E97E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型号规格</w:t>
            </w:r>
          </w:p>
        </w:tc>
        <w:tc>
          <w:tcPr>
            <w:tcW w:w="1455" w:type="dxa"/>
            <w:noWrap w:val="0"/>
            <w:vAlign w:val="center"/>
          </w:tcPr>
          <w:p w14:paraId="209095E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品牌/产地</w:t>
            </w:r>
          </w:p>
        </w:tc>
        <w:tc>
          <w:tcPr>
            <w:tcW w:w="1035" w:type="dxa"/>
            <w:noWrap w:val="0"/>
            <w:vAlign w:val="center"/>
          </w:tcPr>
          <w:p w14:paraId="076C280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10" w:type="dxa"/>
            <w:noWrap w:val="0"/>
            <w:vAlign w:val="center"/>
          </w:tcPr>
          <w:p w14:paraId="4D9B8EC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1335" w:type="dxa"/>
            <w:noWrap w:val="0"/>
            <w:vAlign w:val="center"/>
          </w:tcPr>
          <w:p w14:paraId="2AEF95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p w14:paraId="228B2AC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c>
          <w:tcPr>
            <w:tcW w:w="1455" w:type="dxa"/>
            <w:noWrap w:val="0"/>
            <w:vAlign w:val="center"/>
          </w:tcPr>
          <w:p w14:paraId="11FB65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p w14:paraId="45459F2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(元)</w:t>
            </w:r>
          </w:p>
        </w:tc>
      </w:tr>
      <w:tr w14:paraId="243E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48" w:type="dxa"/>
            <w:noWrap w:val="0"/>
            <w:vAlign w:val="center"/>
          </w:tcPr>
          <w:p w14:paraId="6D69953A">
            <w:pPr>
              <w:rPr>
                <w:rFonts w:hint="eastAsia" w:ascii="宋体" w:hAnsi="宋体" w:eastAsia="宋体" w:cs="宋体"/>
                <w:color w:val="auto"/>
                <w:sz w:val="24"/>
                <w:highlight w:val="none"/>
              </w:rPr>
            </w:pPr>
          </w:p>
        </w:tc>
        <w:tc>
          <w:tcPr>
            <w:tcW w:w="1275" w:type="dxa"/>
            <w:noWrap w:val="0"/>
            <w:vAlign w:val="center"/>
          </w:tcPr>
          <w:p w14:paraId="18816549">
            <w:pPr>
              <w:rPr>
                <w:rFonts w:hint="eastAsia" w:ascii="宋体" w:hAnsi="宋体" w:eastAsia="宋体" w:cs="宋体"/>
                <w:color w:val="auto"/>
                <w:sz w:val="24"/>
                <w:highlight w:val="none"/>
              </w:rPr>
            </w:pPr>
          </w:p>
        </w:tc>
        <w:tc>
          <w:tcPr>
            <w:tcW w:w="1455" w:type="dxa"/>
            <w:noWrap w:val="0"/>
            <w:vAlign w:val="center"/>
          </w:tcPr>
          <w:p w14:paraId="2CF60170">
            <w:pPr>
              <w:rPr>
                <w:rFonts w:hint="eastAsia" w:ascii="宋体" w:hAnsi="宋体" w:eastAsia="宋体" w:cs="宋体"/>
                <w:color w:val="auto"/>
                <w:sz w:val="24"/>
                <w:highlight w:val="none"/>
              </w:rPr>
            </w:pPr>
          </w:p>
        </w:tc>
        <w:tc>
          <w:tcPr>
            <w:tcW w:w="1035" w:type="dxa"/>
            <w:noWrap w:val="0"/>
            <w:vAlign w:val="center"/>
          </w:tcPr>
          <w:p w14:paraId="7AB5812E">
            <w:pPr>
              <w:rPr>
                <w:rFonts w:hint="eastAsia" w:ascii="宋体" w:hAnsi="宋体" w:eastAsia="宋体" w:cs="宋体"/>
                <w:color w:val="auto"/>
                <w:sz w:val="24"/>
                <w:highlight w:val="none"/>
              </w:rPr>
            </w:pPr>
          </w:p>
        </w:tc>
        <w:tc>
          <w:tcPr>
            <w:tcW w:w="1110" w:type="dxa"/>
            <w:noWrap w:val="0"/>
            <w:vAlign w:val="center"/>
          </w:tcPr>
          <w:p w14:paraId="69215B19">
            <w:pPr>
              <w:rPr>
                <w:rFonts w:hint="eastAsia" w:ascii="宋体" w:hAnsi="宋体" w:eastAsia="宋体" w:cs="宋体"/>
                <w:color w:val="auto"/>
                <w:sz w:val="24"/>
                <w:highlight w:val="none"/>
              </w:rPr>
            </w:pPr>
          </w:p>
        </w:tc>
        <w:tc>
          <w:tcPr>
            <w:tcW w:w="1335" w:type="dxa"/>
            <w:noWrap w:val="0"/>
            <w:vAlign w:val="center"/>
          </w:tcPr>
          <w:p w14:paraId="70DB9FB4">
            <w:pPr>
              <w:rPr>
                <w:rFonts w:hint="eastAsia" w:ascii="宋体" w:hAnsi="宋体" w:eastAsia="宋体" w:cs="宋体"/>
                <w:color w:val="auto"/>
                <w:sz w:val="24"/>
                <w:highlight w:val="none"/>
              </w:rPr>
            </w:pPr>
          </w:p>
        </w:tc>
        <w:tc>
          <w:tcPr>
            <w:tcW w:w="1455" w:type="dxa"/>
            <w:noWrap w:val="0"/>
            <w:vAlign w:val="center"/>
          </w:tcPr>
          <w:p w14:paraId="0D4CB55A">
            <w:pPr>
              <w:rPr>
                <w:rFonts w:hint="eastAsia" w:ascii="宋体" w:hAnsi="宋体" w:eastAsia="宋体" w:cs="宋体"/>
                <w:color w:val="auto"/>
                <w:sz w:val="24"/>
                <w:highlight w:val="none"/>
              </w:rPr>
            </w:pPr>
          </w:p>
        </w:tc>
      </w:tr>
      <w:tr w14:paraId="3815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48" w:type="dxa"/>
            <w:noWrap w:val="0"/>
            <w:vAlign w:val="center"/>
          </w:tcPr>
          <w:p w14:paraId="4465496A">
            <w:pPr>
              <w:rPr>
                <w:rFonts w:hint="eastAsia" w:ascii="宋体" w:hAnsi="宋体" w:eastAsia="宋体" w:cs="宋体"/>
                <w:color w:val="auto"/>
                <w:sz w:val="24"/>
                <w:highlight w:val="none"/>
              </w:rPr>
            </w:pPr>
          </w:p>
        </w:tc>
        <w:tc>
          <w:tcPr>
            <w:tcW w:w="1275" w:type="dxa"/>
            <w:noWrap w:val="0"/>
            <w:vAlign w:val="center"/>
          </w:tcPr>
          <w:p w14:paraId="2B25A6EF">
            <w:pPr>
              <w:rPr>
                <w:rFonts w:hint="eastAsia" w:ascii="宋体" w:hAnsi="宋体" w:eastAsia="宋体" w:cs="宋体"/>
                <w:color w:val="auto"/>
                <w:sz w:val="24"/>
                <w:highlight w:val="none"/>
              </w:rPr>
            </w:pPr>
          </w:p>
        </w:tc>
        <w:tc>
          <w:tcPr>
            <w:tcW w:w="1455" w:type="dxa"/>
            <w:noWrap w:val="0"/>
            <w:vAlign w:val="center"/>
          </w:tcPr>
          <w:p w14:paraId="1648B861">
            <w:pPr>
              <w:rPr>
                <w:rFonts w:hint="eastAsia" w:ascii="宋体" w:hAnsi="宋体" w:eastAsia="宋体" w:cs="宋体"/>
                <w:color w:val="auto"/>
                <w:sz w:val="24"/>
                <w:highlight w:val="none"/>
              </w:rPr>
            </w:pPr>
          </w:p>
        </w:tc>
        <w:tc>
          <w:tcPr>
            <w:tcW w:w="1035" w:type="dxa"/>
            <w:noWrap w:val="0"/>
            <w:vAlign w:val="center"/>
          </w:tcPr>
          <w:p w14:paraId="1E1376CC">
            <w:pPr>
              <w:rPr>
                <w:rFonts w:hint="eastAsia" w:ascii="宋体" w:hAnsi="宋体" w:eastAsia="宋体" w:cs="宋体"/>
                <w:color w:val="auto"/>
                <w:sz w:val="24"/>
                <w:highlight w:val="none"/>
              </w:rPr>
            </w:pPr>
          </w:p>
        </w:tc>
        <w:tc>
          <w:tcPr>
            <w:tcW w:w="1110" w:type="dxa"/>
            <w:noWrap w:val="0"/>
            <w:vAlign w:val="center"/>
          </w:tcPr>
          <w:p w14:paraId="3B36101A">
            <w:pPr>
              <w:rPr>
                <w:rFonts w:hint="eastAsia" w:ascii="宋体" w:hAnsi="宋体" w:eastAsia="宋体" w:cs="宋体"/>
                <w:color w:val="auto"/>
                <w:sz w:val="24"/>
                <w:highlight w:val="none"/>
              </w:rPr>
            </w:pPr>
          </w:p>
        </w:tc>
        <w:tc>
          <w:tcPr>
            <w:tcW w:w="1335" w:type="dxa"/>
            <w:noWrap w:val="0"/>
            <w:vAlign w:val="center"/>
          </w:tcPr>
          <w:p w14:paraId="51DF46DA">
            <w:pPr>
              <w:rPr>
                <w:rFonts w:hint="eastAsia" w:ascii="宋体" w:hAnsi="宋体" w:eastAsia="宋体" w:cs="宋体"/>
                <w:color w:val="auto"/>
                <w:sz w:val="24"/>
                <w:highlight w:val="none"/>
              </w:rPr>
            </w:pPr>
          </w:p>
        </w:tc>
        <w:tc>
          <w:tcPr>
            <w:tcW w:w="1455" w:type="dxa"/>
            <w:noWrap w:val="0"/>
            <w:vAlign w:val="center"/>
          </w:tcPr>
          <w:p w14:paraId="45576662">
            <w:pPr>
              <w:rPr>
                <w:rFonts w:hint="eastAsia" w:ascii="宋体" w:hAnsi="宋体" w:eastAsia="宋体" w:cs="宋体"/>
                <w:color w:val="auto"/>
                <w:sz w:val="24"/>
                <w:highlight w:val="none"/>
              </w:rPr>
            </w:pPr>
          </w:p>
        </w:tc>
      </w:tr>
      <w:tr w14:paraId="3AF8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48" w:type="dxa"/>
            <w:noWrap w:val="0"/>
            <w:vAlign w:val="center"/>
          </w:tcPr>
          <w:p w14:paraId="32FA8784">
            <w:pPr>
              <w:rPr>
                <w:rFonts w:hint="eastAsia" w:ascii="宋体" w:hAnsi="宋体" w:eastAsia="宋体" w:cs="宋体"/>
                <w:color w:val="auto"/>
                <w:sz w:val="24"/>
                <w:highlight w:val="none"/>
              </w:rPr>
            </w:pPr>
          </w:p>
        </w:tc>
        <w:tc>
          <w:tcPr>
            <w:tcW w:w="1275" w:type="dxa"/>
            <w:noWrap w:val="0"/>
            <w:vAlign w:val="center"/>
          </w:tcPr>
          <w:p w14:paraId="07B31540">
            <w:pPr>
              <w:rPr>
                <w:rFonts w:hint="eastAsia" w:ascii="宋体" w:hAnsi="宋体" w:eastAsia="宋体" w:cs="宋体"/>
                <w:color w:val="auto"/>
                <w:sz w:val="24"/>
                <w:highlight w:val="none"/>
              </w:rPr>
            </w:pPr>
          </w:p>
        </w:tc>
        <w:tc>
          <w:tcPr>
            <w:tcW w:w="1455" w:type="dxa"/>
            <w:noWrap w:val="0"/>
            <w:vAlign w:val="center"/>
          </w:tcPr>
          <w:p w14:paraId="557EE530">
            <w:pPr>
              <w:rPr>
                <w:rFonts w:hint="eastAsia" w:ascii="宋体" w:hAnsi="宋体" w:eastAsia="宋体" w:cs="宋体"/>
                <w:color w:val="auto"/>
                <w:sz w:val="24"/>
                <w:highlight w:val="none"/>
              </w:rPr>
            </w:pPr>
          </w:p>
        </w:tc>
        <w:tc>
          <w:tcPr>
            <w:tcW w:w="1035" w:type="dxa"/>
            <w:noWrap w:val="0"/>
            <w:vAlign w:val="center"/>
          </w:tcPr>
          <w:p w14:paraId="389D3FD8">
            <w:pPr>
              <w:rPr>
                <w:rFonts w:hint="eastAsia" w:ascii="宋体" w:hAnsi="宋体" w:eastAsia="宋体" w:cs="宋体"/>
                <w:color w:val="auto"/>
                <w:sz w:val="24"/>
                <w:highlight w:val="none"/>
              </w:rPr>
            </w:pPr>
          </w:p>
        </w:tc>
        <w:tc>
          <w:tcPr>
            <w:tcW w:w="1110" w:type="dxa"/>
            <w:noWrap w:val="0"/>
            <w:vAlign w:val="center"/>
          </w:tcPr>
          <w:p w14:paraId="31FF0A03">
            <w:pPr>
              <w:rPr>
                <w:rFonts w:hint="eastAsia" w:ascii="宋体" w:hAnsi="宋体" w:eastAsia="宋体" w:cs="宋体"/>
                <w:color w:val="auto"/>
                <w:sz w:val="24"/>
                <w:highlight w:val="none"/>
              </w:rPr>
            </w:pPr>
          </w:p>
        </w:tc>
        <w:tc>
          <w:tcPr>
            <w:tcW w:w="1335" w:type="dxa"/>
            <w:noWrap w:val="0"/>
            <w:vAlign w:val="center"/>
          </w:tcPr>
          <w:p w14:paraId="22758B0D">
            <w:pPr>
              <w:rPr>
                <w:rFonts w:hint="eastAsia" w:ascii="宋体" w:hAnsi="宋体" w:eastAsia="宋体" w:cs="宋体"/>
                <w:color w:val="auto"/>
                <w:sz w:val="24"/>
                <w:highlight w:val="none"/>
              </w:rPr>
            </w:pPr>
          </w:p>
        </w:tc>
        <w:tc>
          <w:tcPr>
            <w:tcW w:w="1455" w:type="dxa"/>
            <w:noWrap w:val="0"/>
            <w:vAlign w:val="center"/>
          </w:tcPr>
          <w:p w14:paraId="230B2B0C">
            <w:pPr>
              <w:rPr>
                <w:rFonts w:hint="eastAsia" w:ascii="宋体" w:hAnsi="宋体" w:eastAsia="宋体" w:cs="宋体"/>
                <w:color w:val="auto"/>
                <w:sz w:val="24"/>
                <w:highlight w:val="none"/>
              </w:rPr>
            </w:pPr>
          </w:p>
        </w:tc>
      </w:tr>
      <w:tr w14:paraId="1901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48" w:type="dxa"/>
            <w:noWrap w:val="0"/>
            <w:vAlign w:val="center"/>
          </w:tcPr>
          <w:p w14:paraId="20645F81">
            <w:pPr>
              <w:rPr>
                <w:rFonts w:hint="eastAsia" w:ascii="宋体" w:hAnsi="宋体" w:eastAsia="宋体" w:cs="宋体"/>
                <w:color w:val="auto"/>
                <w:sz w:val="24"/>
                <w:highlight w:val="none"/>
              </w:rPr>
            </w:pPr>
          </w:p>
        </w:tc>
        <w:tc>
          <w:tcPr>
            <w:tcW w:w="1275" w:type="dxa"/>
            <w:noWrap w:val="0"/>
            <w:vAlign w:val="center"/>
          </w:tcPr>
          <w:p w14:paraId="08D396A4">
            <w:pPr>
              <w:rPr>
                <w:rFonts w:hint="eastAsia" w:ascii="宋体" w:hAnsi="宋体" w:eastAsia="宋体" w:cs="宋体"/>
                <w:color w:val="auto"/>
                <w:sz w:val="24"/>
                <w:highlight w:val="none"/>
              </w:rPr>
            </w:pPr>
          </w:p>
        </w:tc>
        <w:tc>
          <w:tcPr>
            <w:tcW w:w="1455" w:type="dxa"/>
            <w:noWrap w:val="0"/>
            <w:vAlign w:val="center"/>
          </w:tcPr>
          <w:p w14:paraId="720BBCEA">
            <w:pPr>
              <w:rPr>
                <w:rFonts w:hint="eastAsia" w:ascii="宋体" w:hAnsi="宋体" w:eastAsia="宋体" w:cs="宋体"/>
                <w:color w:val="auto"/>
                <w:sz w:val="24"/>
                <w:highlight w:val="none"/>
              </w:rPr>
            </w:pPr>
          </w:p>
        </w:tc>
        <w:tc>
          <w:tcPr>
            <w:tcW w:w="1035" w:type="dxa"/>
            <w:noWrap w:val="0"/>
            <w:vAlign w:val="center"/>
          </w:tcPr>
          <w:p w14:paraId="57D2BA28">
            <w:pPr>
              <w:rPr>
                <w:rFonts w:hint="eastAsia" w:ascii="宋体" w:hAnsi="宋体" w:eastAsia="宋体" w:cs="宋体"/>
                <w:color w:val="auto"/>
                <w:sz w:val="24"/>
                <w:highlight w:val="none"/>
              </w:rPr>
            </w:pPr>
          </w:p>
        </w:tc>
        <w:tc>
          <w:tcPr>
            <w:tcW w:w="1110" w:type="dxa"/>
            <w:noWrap w:val="0"/>
            <w:vAlign w:val="center"/>
          </w:tcPr>
          <w:p w14:paraId="45C47936">
            <w:pPr>
              <w:rPr>
                <w:rFonts w:hint="eastAsia" w:ascii="宋体" w:hAnsi="宋体" w:eastAsia="宋体" w:cs="宋体"/>
                <w:color w:val="auto"/>
                <w:sz w:val="24"/>
                <w:highlight w:val="none"/>
              </w:rPr>
            </w:pPr>
          </w:p>
        </w:tc>
        <w:tc>
          <w:tcPr>
            <w:tcW w:w="1335" w:type="dxa"/>
            <w:noWrap w:val="0"/>
            <w:vAlign w:val="center"/>
          </w:tcPr>
          <w:p w14:paraId="400899A8">
            <w:pPr>
              <w:rPr>
                <w:rFonts w:hint="eastAsia" w:ascii="宋体" w:hAnsi="宋体" w:eastAsia="宋体" w:cs="宋体"/>
                <w:color w:val="auto"/>
                <w:sz w:val="24"/>
                <w:highlight w:val="none"/>
              </w:rPr>
            </w:pPr>
          </w:p>
        </w:tc>
        <w:tc>
          <w:tcPr>
            <w:tcW w:w="1455" w:type="dxa"/>
            <w:noWrap w:val="0"/>
            <w:vAlign w:val="center"/>
          </w:tcPr>
          <w:p w14:paraId="1CBF8DCD">
            <w:pPr>
              <w:rPr>
                <w:rFonts w:hint="eastAsia" w:ascii="宋体" w:hAnsi="宋体" w:eastAsia="宋体" w:cs="宋体"/>
                <w:color w:val="auto"/>
                <w:sz w:val="24"/>
                <w:highlight w:val="none"/>
              </w:rPr>
            </w:pPr>
          </w:p>
        </w:tc>
      </w:tr>
      <w:tr w14:paraId="503E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348" w:type="dxa"/>
            <w:noWrap w:val="0"/>
            <w:vAlign w:val="center"/>
          </w:tcPr>
          <w:p w14:paraId="3C5EAAAC">
            <w:pPr>
              <w:rPr>
                <w:rFonts w:hint="eastAsia" w:ascii="宋体" w:hAnsi="宋体" w:eastAsia="宋体" w:cs="宋体"/>
                <w:color w:val="auto"/>
                <w:sz w:val="24"/>
                <w:highlight w:val="none"/>
              </w:rPr>
            </w:pPr>
          </w:p>
        </w:tc>
        <w:tc>
          <w:tcPr>
            <w:tcW w:w="1275" w:type="dxa"/>
            <w:noWrap w:val="0"/>
            <w:vAlign w:val="center"/>
          </w:tcPr>
          <w:p w14:paraId="14C0BAB5">
            <w:pPr>
              <w:rPr>
                <w:rFonts w:hint="eastAsia" w:ascii="宋体" w:hAnsi="宋体" w:eastAsia="宋体" w:cs="宋体"/>
                <w:color w:val="auto"/>
                <w:sz w:val="24"/>
                <w:highlight w:val="none"/>
              </w:rPr>
            </w:pPr>
          </w:p>
        </w:tc>
        <w:tc>
          <w:tcPr>
            <w:tcW w:w="1455" w:type="dxa"/>
            <w:noWrap w:val="0"/>
            <w:vAlign w:val="center"/>
          </w:tcPr>
          <w:p w14:paraId="6E2F0192">
            <w:pPr>
              <w:rPr>
                <w:rFonts w:hint="eastAsia" w:ascii="宋体" w:hAnsi="宋体" w:eastAsia="宋体" w:cs="宋体"/>
                <w:color w:val="auto"/>
                <w:sz w:val="24"/>
                <w:highlight w:val="none"/>
              </w:rPr>
            </w:pPr>
          </w:p>
        </w:tc>
        <w:tc>
          <w:tcPr>
            <w:tcW w:w="1035" w:type="dxa"/>
            <w:noWrap w:val="0"/>
            <w:vAlign w:val="center"/>
          </w:tcPr>
          <w:p w14:paraId="70F43739">
            <w:pPr>
              <w:rPr>
                <w:rFonts w:hint="eastAsia" w:ascii="宋体" w:hAnsi="宋体" w:eastAsia="宋体" w:cs="宋体"/>
                <w:color w:val="auto"/>
                <w:sz w:val="24"/>
                <w:highlight w:val="none"/>
              </w:rPr>
            </w:pPr>
          </w:p>
        </w:tc>
        <w:tc>
          <w:tcPr>
            <w:tcW w:w="1110" w:type="dxa"/>
            <w:noWrap w:val="0"/>
            <w:vAlign w:val="center"/>
          </w:tcPr>
          <w:p w14:paraId="67E0DCE8">
            <w:pPr>
              <w:rPr>
                <w:rFonts w:hint="eastAsia" w:ascii="宋体" w:hAnsi="宋体" w:eastAsia="宋体" w:cs="宋体"/>
                <w:color w:val="auto"/>
                <w:sz w:val="24"/>
                <w:highlight w:val="none"/>
              </w:rPr>
            </w:pPr>
          </w:p>
        </w:tc>
        <w:tc>
          <w:tcPr>
            <w:tcW w:w="1335" w:type="dxa"/>
            <w:noWrap w:val="0"/>
            <w:vAlign w:val="center"/>
          </w:tcPr>
          <w:p w14:paraId="0631A00A">
            <w:pPr>
              <w:rPr>
                <w:rFonts w:hint="eastAsia" w:ascii="宋体" w:hAnsi="宋体" w:eastAsia="宋体" w:cs="宋体"/>
                <w:color w:val="auto"/>
                <w:sz w:val="24"/>
                <w:highlight w:val="none"/>
              </w:rPr>
            </w:pPr>
          </w:p>
        </w:tc>
        <w:tc>
          <w:tcPr>
            <w:tcW w:w="1455" w:type="dxa"/>
            <w:noWrap w:val="0"/>
            <w:vAlign w:val="center"/>
          </w:tcPr>
          <w:p w14:paraId="3B2B7791">
            <w:pPr>
              <w:rPr>
                <w:rFonts w:hint="eastAsia" w:ascii="宋体" w:hAnsi="宋体" w:eastAsia="宋体" w:cs="宋体"/>
                <w:color w:val="auto"/>
                <w:sz w:val="24"/>
                <w:highlight w:val="none"/>
              </w:rPr>
            </w:pPr>
          </w:p>
        </w:tc>
      </w:tr>
      <w:tr w14:paraId="13A8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3" w:type="dxa"/>
            <w:gridSpan w:val="7"/>
            <w:noWrap w:val="0"/>
            <w:vAlign w:val="top"/>
          </w:tcPr>
          <w:p w14:paraId="59A42B4B">
            <w:pPr>
              <w:rPr>
                <w:rFonts w:hint="eastAsia" w:ascii="宋体" w:hAnsi="宋体" w:eastAsia="宋体" w:cs="宋体"/>
                <w:color w:val="auto"/>
                <w:sz w:val="24"/>
                <w:highlight w:val="none"/>
              </w:rPr>
            </w:pPr>
            <w:r>
              <w:rPr>
                <w:rFonts w:hint="eastAsia" w:ascii="宋体" w:hAnsi="宋体" w:eastAsia="宋体" w:cs="宋体"/>
                <w:color w:val="auto"/>
                <w:sz w:val="24"/>
                <w:highlight w:val="none"/>
              </w:rPr>
              <w:t>总金额（人民币）：        万     仟      佰      拾       元     角     分</w:t>
            </w:r>
          </w:p>
        </w:tc>
      </w:tr>
    </w:tbl>
    <w:p w14:paraId="31C03D9E">
      <w:pPr>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本合同的价格包含但不限于：材料、包装、运输、装卸、不合格产品更换以及国家和地方政府规定应缴纳的各种费用等</w:t>
      </w:r>
      <w:r>
        <w:rPr>
          <w:rFonts w:hint="eastAsia" w:ascii="宋体" w:hAnsi="宋体" w:eastAsia="宋体" w:cs="宋体"/>
          <w:color w:val="auto"/>
          <w:sz w:val="24"/>
          <w:highlight w:val="none"/>
          <w:lang w:eastAsia="zh-CN"/>
        </w:rPr>
        <w:t>。</w:t>
      </w:r>
    </w:p>
    <w:p w14:paraId="26540F8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二）货物质量等要求</w:t>
      </w:r>
    </w:p>
    <w:p w14:paraId="1F6A0106">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1、乙方提供的货物必须符合中华人民共和国国家及行业标准。</w:t>
      </w:r>
    </w:p>
    <w:p w14:paraId="1E4F4AA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2、乙方提供的货物必须是全新的，且进货渠道合法。</w:t>
      </w:r>
    </w:p>
    <w:p w14:paraId="68808825">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3、乙方必须按甲方要求按时保质完成交货任务，货物不符合质量标准的，乙方必须按时负责调换至合格为止，不能按时调换至合格者，按不能交货处理。</w:t>
      </w:r>
    </w:p>
    <w:p w14:paraId="19E08ED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szCs w:val="21"/>
          <w:highlight w:val="none"/>
        </w:rPr>
        <w:t>乙方在验收过程、直至交付甲方使用时（时间以签订验收合同为准）所发生的一切费用由乙方自行负责，甲方不承担任何费用。</w:t>
      </w:r>
    </w:p>
    <w:p w14:paraId="1459CE06">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 送货及验收</w:t>
      </w:r>
    </w:p>
    <w:p w14:paraId="5211785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1、交货地点：</w:t>
      </w:r>
      <w:r>
        <w:rPr>
          <w:rFonts w:hint="eastAsia" w:ascii="宋体" w:hAnsi="宋体" w:eastAsia="宋体" w:cs="宋体"/>
          <w:color w:val="auto"/>
          <w:sz w:val="24"/>
          <w:highlight w:val="none"/>
          <w:u w:val="single"/>
        </w:rPr>
        <w:t>采购人指定地点</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 xml:space="preserve">              </w:t>
      </w:r>
    </w:p>
    <w:p w14:paraId="5DFCEB9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2、交货时间：</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b/>
          <w:color w:val="auto"/>
          <w:sz w:val="24"/>
          <w:highlight w:val="none"/>
          <w:u w:val="single"/>
        </w:rPr>
        <w:t xml:space="preserve">  </w:t>
      </w:r>
    </w:p>
    <w:p w14:paraId="737A8739">
      <w:pPr>
        <w:spacing w:line="4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3、验收：</w:t>
      </w:r>
      <w:r>
        <w:rPr>
          <w:rFonts w:hint="eastAsia" w:ascii="宋体" w:hAnsi="宋体" w:eastAsia="宋体" w:cs="宋体"/>
          <w:color w:val="auto"/>
          <w:sz w:val="24"/>
          <w:highlight w:val="none"/>
        </w:rPr>
        <w:t>投标人提供的设备均应符合招标时已颁布的中国国家标准。对于所有投标产品，中标供应商应提供设备的合格证书、使用说明书</w:t>
      </w:r>
      <w:r>
        <w:rPr>
          <w:rFonts w:hint="eastAsia" w:ascii="宋体" w:hAnsi="宋体" w:eastAsia="宋体" w:cs="宋体"/>
          <w:color w:val="auto"/>
          <w:kern w:val="0"/>
          <w:sz w:val="24"/>
          <w:highlight w:val="none"/>
        </w:rPr>
        <w:t>及其它相关的资料。</w:t>
      </w:r>
    </w:p>
    <w:p w14:paraId="7843C6FD">
      <w:pPr>
        <w:spacing w:line="500" w:lineRule="exact"/>
        <w:ind w:firstLine="480" w:firstLineChars="200"/>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sz w:val="24"/>
          <w:highlight w:val="none"/>
        </w:rPr>
        <w:t>四）付款方式：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p>
    <w:p w14:paraId="74B8770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五）售后服务条款</w:t>
      </w:r>
    </w:p>
    <w:p w14:paraId="142D724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质 保 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F9D8D44">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2、保修方式：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5A2D67DF">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六）违约责任：</w:t>
      </w:r>
    </w:p>
    <w:p w14:paraId="37340E2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1、乙方交付的货物不符合合同规定，又不调换的，甲方有权拒收。</w:t>
      </w:r>
    </w:p>
    <w:p w14:paraId="543BA3D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2、甲方无正当理由拒收货物，拒付货款的，甲方需向乙方偿付货物总金额的5%违约金。</w:t>
      </w:r>
    </w:p>
    <w:p w14:paraId="784308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3、乙方逾期交付货物的按照合同一般条款中违约责任和违约赔偿条款中执行。</w:t>
      </w:r>
    </w:p>
    <w:p w14:paraId="66321933">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 争议解决</w:t>
      </w:r>
    </w:p>
    <w:p w14:paraId="71F4F1F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合同发生争议，由双方协商或调解解决，协商或调解不成时，由合同签订所在地仲裁机构仲裁或向签订合同所在地人民法院起诉。</w:t>
      </w:r>
    </w:p>
    <w:p w14:paraId="2403B6F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 其他</w:t>
      </w:r>
    </w:p>
    <w:p w14:paraId="66C81D7A">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未尽事宜，双方友好协商。</w:t>
      </w:r>
    </w:p>
    <w:p w14:paraId="2A38B4DC">
      <w:pPr>
        <w:ind w:firstLine="480" w:firstLineChars="200"/>
        <w:rPr>
          <w:rFonts w:hint="eastAsia" w:ascii="宋体" w:hAnsi="宋体" w:eastAsia="宋体" w:cs="宋体"/>
          <w:color w:val="auto"/>
          <w:sz w:val="24"/>
          <w:highlight w:val="none"/>
        </w:rPr>
      </w:pPr>
    </w:p>
    <w:p w14:paraId="5933E7C3">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买方：       （合同章） ：              卖方:          （合同章）：</w:t>
      </w:r>
    </w:p>
    <w:p w14:paraId="1F8574A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代表签字：                              代表签字：</w:t>
      </w:r>
    </w:p>
    <w:p w14:paraId="3AED4C61">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14:paraId="71EDA0A6">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手机：                                  手机：</w:t>
      </w:r>
    </w:p>
    <w:p w14:paraId="453D5074">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地址：</w:t>
      </w:r>
    </w:p>
    <w:p w14:paraId="0D7F7266">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                              邮政编码：</w:t>
      </w:r>
    </w:p>
    <w:p w14:paraId="2F360C25">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签字日期：                              签字日期：</w:t>
      </w:r>
    </w:p>
    <w:p w14:paraId="52C3278E">
      <w:pPr>
        <w:pStyle w:val="8"/>
        <w:spacing w:line="240" w:lineRule="atLeast"/>
        <w:ind w:left="1080" w:leftChars="257" w:hanging="540"/>
        <w:rPr>
          <w:rFonts w:hint="eastAsia" w:ascii="宋体" w:hAnsi="宋体" w:eastAsia="宋体" w:cs="宋体"/>
          <w:sz w:val="28"/>
          <w:highlight w:val="none"/>
        </w:rPr>
      </w:pPr>
    </w:p>
    <w:p w14:paraId="62D33579">
      <w:pPr>
        <w:tabs>
          <w:tab w:val="left" w:pos="2207"/>
        </w:tabs>
        <w:spacing w:before="38"/>
        <w:ind w:left="0" w:right="94" w:firstLine="0"/>
        <w:jc w:val="center"/>
        <w:rPr>
          <w:rFonts w:hint="eastAsia" w:ascii="宋体" w:hAnsi="宋体" w:eastAsia="宋体" w:cs="宋体"/>
          <w:b/>
          <w:sz w:val="28"/>
          <w:szCs w:val="28"/>
          <w:highlight w:val="none"/>
        </w:rPr>
      </w:pPr>
    </w:p>
    <w:p w14:paraId="715AA845">
      <w:pPr>
        <w:tabs>
          <w:tab w:val="left" w:pos="2207"/>
        </w:tabs>
        <w:spacing w:before="38"/>
        <w:ind w:left="0" w:right="94" w:firstLine="0"/>
        <w:jc w:val="center"/>
        <w:rPr>
          <w:rFonts w:hint="eastAsia" w:ascii="宋体" w:hAnsi="宋体" w:eastAsia="宋体" w:cs="宋体"/>
          <w:b/>
          <w:sz w:val="28"/>
          <w:szCs w:val="28"/>
          <w:highlight w:val="none"/>
        </w:rPr>
      </w:pPr>
    </w:p>
    <w:p w14:paraId="372332A4">
      <w:pPr>
        <w:tabs>
          <w:tab w:val="left" w:pos="2207"/>
        </w:tabs>
        <w:spacing w:before="38"/>
        <w:ind w:left="0" w:right="94" w:firstLine="0"/>
        <w:jc w:val="center"/>
        <w:rPr>
          <w:rFonts w:hint="eastAsia" w:ascii="宋体" w:hAnsi="宋体" w:eastAsia="宋体" w:cs="宋体"/>
          <w:b/>
          <w:sz w:val="28"/>
          <w:szCs w:val="28"/>
          <w:highlight w:val="none"/>
        </w:rPr>
      </w:pPr>
    </w:p>
    <w:p w14:paraId="0F3B2A37">
      <w:pPr>
        <w:tabs>
          <w:tab w:val="left" w:pos="2207"/>
        </w:tabs>
        <w:spacing w:before="38"/>
        <w:ind w:left="0" w:right="94" w:firstLine="0"/>
        <w:jc w:val="center"/>
        <w:rPr>
          <w:rFonts w:hint="eastAsia" w:ascii="宋体" w:hAnsi="宋体" w:eastAsia="宋体" w:cs="宋体"/>
          <w:b/>
          <w:sz w:val="28"/>
          <w:szCs w:val="28"/>
          <w:highlight w:val="none"/>
        </w:rPr>
      </w:pPr>
    </w:p>
    <w:p w14:paraId="51573471">
      <w:pPr>
        <w:tabs>
          <w:tab w:val="left" w:pos="2207"/>
        </w:tabs>
        <w:spacing w:before="38"/>
        <w:ind w:left="0" w:right="94" w:firstLine="0"/>
        <w:jc w:val="center"/>
        <w:rPr>
          <w:rFonts w:hint="eastAsia" w:ascii="宋体" w:hAnsi="宋体" w:eastAsia="宋体" w:cs="宋体"/>
          <w:b/>
          <w:sz w:val="28"/>
          <w:szCs w:val="28"/>
          <w:highlight w:val="none"/>
        </w:rPr>
      </w:pPr>
    </w:p>
    <w:p w14:paraId="01E9C70D">
      <w:pPr>
        <w:pStyle w:val="43"/>
        <w:numPr>
          <w:ilvl w:val="0"/>
          <w:numId w:val="0"/>
        </w:numPr>
        <w:ind w:firstLine="3534" w:firstLineChars="1100"/>
        <w:jc w:val="both"/>
        <w:rPr>
          <w:rFonts w:hint="eastAsia"/>
          <w:highlight w:val="none"/>
          <w:lang w:eastAsia="zh-CN"/>
        </w:rPr>
      </w:pPr>
      <w:r>
        <w:rPr>
          <w:rFonts w:hint="eastAsia"/>
          <w:highlight w:val="none"/>
          <w:lang w:val="en-US" w:eastAsia="zh-CN"/>
        </w:rPr>
        <w:t>第六章   投标文件</w:t>
      </w:r>
      <w:r>
        <w:rPr>
          <w:rFonts w:hint="eastAsia"/>
          <w:highlight w:val="none"/>
        </w:rPr>
        <w:t>格式</w:t>
      </w:r>
      <w:bookmarkEnd w:id="36"/>
    </w:p>
    <w:p w14:paraId="597E1789">
      <w:pPr>
        <w:pStyle w:val="43"/>
        <w:numPr>
          <w:ilvl w:val="0"/>
          <w:numId w:val="0"/>
        </w:numPr>
        <w:jc w:val="both"/>
        <w:rPr>
          <w:rFonts w:hint="eastAsia"/>
          <w:highlight w:val="none"/>
          <w:lang w:eastAsia="zh-CN"/>
        </w:rPr>
      </w:pPr>
    </w:p>
    <w:p w14:paraId="1C498539">
      <w:pPr>
        <w:pStyle w:val="43"/>
        <w:numPr>
          <w:ilvl w:val="0"/>
          <w:numId w:val="0"/>
        </w:numPr>
        <w:jc w:val="both"/>
        <w:rPr>
          <w:rFonts w:hint="eastAsia"/>
          <w:highlight w:val="none"/>
          <w:lang w:eastAsia="zh-CN"/>
        </w:rPr>
      </w:pPr>
    </w:p>
    <w:p w14:paraId="77126FE4">
      <w:pPr>
        <w:pStyle w:val="43"/>
        <w:numPr>
          <w:ilvl w:val="0"/>
          <w:numId w:val="0"/>
        </w:numPr>
        <w:jc w:val="both"/>
        <w:rPr>
          <w:rFonts w:hint="eastAsia"/>
          <w:highlight w:val="none"/>
          <w:lang w:eastAsia="zh-CN"/>
        </w:rPr>
      </w:pPr>
    </w:p>
    <w:p w14:paraId="2EEC01C0">
      <w:pPr>
        <w:pStyle w:val="43"/>
        <w:numPr>
          <w:ilvl w:val="0"/>
          <w:numId w:val="0"/>
        </w:numPr>
        <w:jc w:val="both"/>
        <w:rPr>
          <w:rFonts w:hint="eastAsia"/>
          <w:highlight w:val="none"/>
          <w:lang w:eastAsia="zh-CN"/>
        </w:rPr>
      </w:pPr>
    </w:p>
    <w:p w14:paraId="01B13812">
      <w:pPr>
        <w:pStyle w:val="43"/>
        <w:numPr>
          <w:ilvl w:val="0"/>
          <w:numId w:val="0"/>
        </w:numPr>
        <w:jc w:val="both"/>
        <w:rPr>
          <w:rFonts w:hint="eastAsia"/>
          <w:highlight w:val="none"/>
          <w:lang w:eastAsia="zh-CN"/>
        </w:rPr>
      </w:pPr>
    </w:p>
    <w:p w14:paraId="5F22EA9D">
      <w:pPr>
        <w:pStyle w:val="43"/>
        <w:numPr>
          <w:ilvl w:val="0"/>
          <w:numId w:val="0"/>
        </w:numPr>
        <w:jc w:val="both"/>
        <w:rPr>
          <w:rFonts w:hint="eastAsia"/>
          <w:highlight w:val="none"/>
          <w:lang w:eastAsia="zh-CN"/>
        </w:rPr>
      </w:pPr>
    </w:p>
    <w:p w14:paraId="52D57B55">
      <w:pPr>
        <w:pStyle w:val="43"/>
        <w:numPr>
          <w:ilvl w:val="0"/>
          <w:numId w:val="0"/>
        </w:numPr>
        <w:jc w:val="both"/>
        <w:rPr>
          <w:rFonts w:hint="eastAsia"/>
          <w:highlight w:val="none"/>
          <w:lang w:eastAsia="zh-CN"/>
        </w:rPr>
      </w:pPr>
    </w:p>
    <w:p w14:paraId="79699DB1">
      <w:pPr>
        <w:pStyle w:val="43"/>
        <w:numPr>
          <w:ilvl w:val="0"/>
          <w:numId w:val="0"/>
        </w:numPr>
        <w:jc w:val="both"/>
        <w:rPr>
          <w:rFonts w:hint="eastAsia"/>
          <w:highlight w:val="none"/>
          <w:lang w:eastAsia="zh-CN"/>
        </w:rPr>
      </w:pPr>
    </w:p>
    <w:p w14:paraId="7CA73E56">
      <w:pPr>
        <w:pStyle w:val="43"/>
        <w:numPr>
          <w:ilvl w:val="0"/>
          <w:numId w:val="0"/>
        </w:numPr>
        <w:jc w:val="both"/>
        <w:rPr>
          <w:rFonts w:hint="eastAsia"/>
          <w:highlight w:val="none"/>
          <w:lang w:eastAsia="zh-CN"/>
        </w:rPr>
      </w:pPr>
    </w:p>
    <w:p w14:paraId="0726D114">
      <w:pPr>
        <w:pStyle w:val="43"/>
        <w:numPr>
          <w:ilvl w:val="0"/>
          <w:numId w:val="0"/>
        </w:numPr>
        <w:jc w:val="both"/>
        <w:rPr>
          <w:rFonts w:hint="eastAsia"/>
          <w:highlight w:val="none"/>
          <w:lang w:eastAsia="zh-CN"/>
        </w:rPr>
      </w:pPr>
    </w:p>
    <w:p w14:paraId="1F2E1E24">
      <w:pPr>
        <w:pStyle w:val="43"/>
        <w:numPr>
          <w:ilvl w:val="0"/>
          <w:numId w:val="0"/>
        </w:numPr>
        <w:jc w:val="both"/>
        <w:rPr>
          <w:rFonts w:hint="eastAsia"/>
          <w:highlight w:val="none"/>
          <w:lang w:eastAsia="zh-CN"/>
        </w:rPr>
      </w:pPr>
    </w:p>
    <w:p w14:paraId="746B3F2B">
      <w:pPr>
        <w:pStyle w:val="43"/>
        <w:numPr>
          <w:ilvl w:val="0"/>
          <w:numId w:val="0"/>
        </w:numPr>
        <w:jc w:val="both"/>
        <w:rPr>
          <w:rFonts w:hint="eastAsia"/>
          <w:highlight w:val="none"/>
          <w:lang w:eastAsia="zh-CN"/>
        </w:rPr>
      </w:pPr>
    </w:p>
    <w:p w14:paraId="43DFCB2B">
      <w:pPr>
        <w:pStyle w:val="43"/>
        <w:numPr>
          <w:ilvl w:val="0"/>
          <w:numId w:val="0"/>
        </w:numPr>
        <w:jc w:val="both"/>
        <w:rPr>
          <w:rFonts w:hint="eastAsia"/>
          <w:highlight w:val="none"/>
          <w:lang w:eastAsia="zh-CN"/>
        </w:rPr>
      </w:pPr>
    </w:p>
    <w:p w14:paraId="216D53F5">
      <w:pPr>
        <w:pStyle w:val="43"/>
        <w:numPr>
          <w:ilvl w:val="0"/>
          <w:numId w:val="0"/>
        </w:numPr>
        <w:jc w:val="both"/>
        <w:rPr>
          <w:rFonts w:hint="eastAsia"/>
          <w:highlight w:val="none"/>
          <w:lang w:eastAsia="zh-CN"/>
        </w:rPr>
      </w:pPr>
    </w:p>
    <w:p w14:paraId="58D628E5">
      <w:pPr>
        <w:pStyle w:val="43"/>
        <w:numPr>
          <w:ilvl w:val="0"/>
          <w:numId w:val="0"/>
        </w:numPr>
        <w:jc w:val="both"/>
        <w:rPr>
          <w:rFonts w:hint="eastAsia"/>
          <w:highlight w:val="none"/>
          <w:lang w:eastAsia="zh-CN"/>
        </w:rPr>
      </w:pPr>
    </w:p>
    <w:p w14:paraId="0D1DC255">
      <w:pPr>
        <w:pStyle w:val="43"/>
        <w:numPr>
          <w:ilvl w:val="0"/>
          <w:numId w:val="0"/>
        </w:numPr>
        <w:jc w:val="both"/>
        <w:rPr>
          <w:rFonts w:hint="eastAsia"/>
          <w:highlight w:val="none"/>
          <w:lang w:eastAsia="zh-CN"/>
        </w:rPr>
      </w:pPr>
    </w:p>
    <w:p w14:paraId="503647E1">
      <w:pPr>
        <w:pStyle w:val="43"/>
        <w:numPr>
          <w:ilvl w:val="0"/>
          <w:numId w:val="0"/>
        </w:numPr>
        <w:jc w:val="both"/>
        <w:rPr>
          <w:rFonts w:hint="eastAsia"/>
          <w:highlight w:val="none"/>
          <w:lang w:eastAsia="zh-CN"/>
        </w:rPr>
      </w:pPr>
    </w:p>
    <w:p w14:paraId="2BA5CACB">
      <w:pPr>
        <w:pStyle w:val="43"/>
        <w:numPr>
          <w:ilvl w:val="0"/>
          <w:numId w:val="0"/>
        </w:numPr>
        <w:jc w:val="both"/>
        <w:rPr>
          <w:rFonts w:hint="eastAsia"/>
          <w:highlight w:val="none"/>
          <w:lang w:eastAsia="zh-CN"/>
        </w:rPr>
      </w:pPr>
    </w:p>
    <w:p w14:paraId="7B3C13E8">
      <w:pPr>
        <w:pStyle w:val="43"/>
        <w:numPr>
          <w:ilvl w:val="0"/>
          <w:numId w:val="0"/>
        </w:numPr>
        <w:jc w:val="both"/>
        <w:rPr>
          <w:rFonts w:hint="eastAsia"/>
          <w:highlight w:val="none"/>
          <w:lang w:eastAsia="zh-CN"/>
        </w:rPr>
      </w:pPr>
    </w:p>
    <w:p w14:paraId="7C1B0A0D">
      <w:pPr>
        <w:pStyle w:val="43"/>
        <w:numPr>
          <w:ilvl w:val="0"/>
          <w:numId w:val="0"/>
        </w:numPr>
        <w:jc w:val="both"/>
        <w:rPr>
          <w:rFonts w:hint="eastAsia"/>
          <w:highlight w:val="none"/>
          <w:lang w:eastAsia="zh-CN"/>
        </w:rPr>
      </w:pPr>
    </w:p>
    <w:p w14:paraId="0F002F37">
      <w:pPr>
        <w:pStyle w:val="43"/>
        <w:numPr>
          <w:ilvl w:val="0"/>
          <w:numId w:val="0"/>
        </w:numPr>
        <w:jc w:val="both"/>
        <w:rPr>
          <w:rFonts w:hint="eastAsia"/>
          <w:highlight w:val="none"/>
          <w:lang w:eastAsia="zh-CN"/>
        </w:rPr>
      </w:pPr>
    </w:p>
    <w:p w14:paraId="32BDD11A">
      <w:pPr>
        <w:pStyle w:val="43"/>
        <w:numPr>
          <w:ilvl w:val="0"/>
          <w:numId w:val="0"/>
        </w:numPr>
        <w:jc w:val="both"/>
        <w:rPr>
          <w:rFonts w:hint="eastAsia"/>
          <w:highlight w:val="none"/>
          <w:lang w:eastAsia="zh-CN"/>
        </w:rPr>
      </w:pPr>
    </w:p>
    <w:p w14:paraId="40E950F5">
      <w:pPr>
        <w:pStyle w:val="10"/>
        <w:jc w:val="both"/>
        <w:rPr>
          <w:rFonts w:hint="default" w:ascii="宋体" w:hAnsi="宋体" w:eastAsia="宋体" w:cs="宋体"/>
          <w:b/>
          <w:sz w:val="40"/>
          <w:szCs w:val="22"/>
          <w:highlight w:val="none"/>
          <w:u w:val="none"/>
          <w:lang w:val="en-US"/>
        </w:rPr>
      </w:pPr>
      <w:r>
        <w:rPr>
          <w:rFonts w:hint="eastAsia"/>
          <w:color w:val="000000"/>
          <w:szCs w:val="21"/>
          <w:highlight w:val="none"/>
          <w:lang w:eastAsia="zh-CN"/>
        </w:rPr>
        <w:tab/>
      </w:r>
      <w:r>
        <w:rPr>
          <w:rFonts w:hint="eastAsia"/>
          <w:color w:val="000000"/>
          <w:szCs w:val="21"/>
          <w:highlight w:val="none"/>
          <w:lang w:val="en-US" w:eastAsia="zh-CN"/>
        </w:rPr>
        <w:t xml:space="preserve">       </w:t>
      </w:r>
      <w:r>
        <w:rPr>
          <w:rFonts w:hint="eastAsia"/>
          <w:color w:val="000000"/>
          <w:sz w:val="44"/>
          <w:szCs w:val="20"/>
          <w:highlight w:val="none"/>
          <w:lang w:val="en-US" w:eastAsia="zh-CN"/>
        </w:rPr>
        <w:t xml:space="preserve"> </w:t>
      </w:r>
      <w:r>
        <w:rPr>
          <w:rFonts w:hint="eastAsia"/>
          <w:color w:val="000000"/>
          <w:sz w:val="44"/>
          <w:szCs w:val="20"/>
          <w:highlight w:val="none"/>
          <w:u w:val="single"/>
          <w:lang w:val="en-US" w:eastAsia="zh-CN"/>
        </w:rPr>
        <w:t xml:space="preserve">               </w:t>
      </w:r>
      <w:r>
        <w:rPr>
          <w:rFonts w:hint="eastAsia"/>
          <w:color w:val="000000"/>
          <w:sz w:val="44"/>
          <w:szCs w:val="20"/>
          <w:highlight w:val="none"/>
          <w:u w:val="none"/>
          <w:lang w:val="en-US" w:eastAsia="zh-CN"/>
        </w:rPr>
        <w:t>项目第</w:t>
      </w:r>
      <w:r>
        <w:rPr>
          <w:rFonts w:hint="eastAsia"/>
          <w:color w:val="000000"/>
          <w:sz w:val="44"/>
          <w:szCs w:val="20"/>
          <w:highlight w:val="none"/>
          <w:u w:val="single"/>
          <w:lang w:val="en-US" w:eastAsia="zh-CN"/>
        </w:rPr>
        <w:t xml:space="preserve">   </w:t>
      </w:r>
      <w:r>
        <w:rPr>
          <w:rFonts w:hint="eastAsia"/>
          <w:color w:val="000000"/>
          <w:sz w:val="44"/>
          <w:szCs w:val="20"/>
          <w:highlight w:val="none"/>
          <w:u w:val="none"/>
          <w:lang w:val="en-US" w:eastAsia="zh-CN"/>
        </w:rPr>
        <w:t>标段</w:t>
      </w:r>
    </w:p>
    <w:p w14:paraId="49376CAF">
      <w:pPr>
        <w:pStyle w:val="10"/>
        <w:spacing w:before="2"/>
        <w:jc w:val="both"/>
        <w:rPr>
          <w:rFonts w:hint="eastAsia" w:ascii="宋体" w:hAnsi="宋体" w:eastAsia="宋体" w:cs="宋体"/>
          <w:b/>
          <w:sz w:val="48"/>
          <w:szCs w:val="22"/>
          <w:highlight w:val="none"/>
        </w:rPr>
      </w:pPr>
    </w:p>
    <w:p w14:paraId="6C92EAF5">
      <w:pPr>
        <w:spacing w:before="0"/>
        <w:ind w:left="575" w:right="612" w:firstLine="0"/>
        <w:jc w:val="center"/>
        <w:rPr>
          <w:rFonts w:hint="eastAsia" w:ascii="宋体" w:hAnsi="宋体" w:eastAsia="宋体" w:cs="宋体"/>
          <w:b/>
          <w:sz w:val="72"/>
          <w:szCs w:val="22"/>
          <w:highlight w:val="none"/>
          <w:lang w:eastAsia="zh-CN"/>
        </w:rPr>
      </w:pPr>
      <w:r>
        <w:rPr>
          <w:rFonts w:hint="eastAsia" w:ascii="宋体" w:hAnsi="宋体" w:cs="宋体"/>
          <w:b/>
          <w:sz w:val="72"/>
          <w:szCs w:val="22"/>
          <w:highlight w:val="none"/>
          <w:lang w:eastAsia="zh-CN"/>
        </w:rPr>
        <w:t>投标文件</w:t>
      </w:r>
    </w:p>
    <w:p w14:paraId="24CA12ED">
      <w:pPr>
        <w:pStyle w:val="7"/>
        <w:tabs>
          <w:tab w:val="left" w:pos="2548"/>
        </w:tabs>
        <w:spacing w:before="400" w:line="360" w:lineRule="auto"/>
        <w:ind w:left="12" w:firstLine="3694" w:firstLineChars="1600"/>
        <w:jc w:val="both"/>
        <w:rPr>
          <w:rFonts w:hint="eastAsia" w:ascii="宋体" w:hAnsi="宋体" w:eastAsia="宋体" w:cs="宋体"/>
          <w:b/>
          <w:highlight w:val="none"/>
        </w:rPr>
      </w:pPr>
      <w:r>
        <w:rPr>
          <w:rFonts w:hint="eastAsia" w:cs="宋体"/>
          <w:highlight w:val="none"/>
          <w:lang w:val="en-US" w:eastAsia="zh-CN"/>
        </w:rPr>
        <w:t>采购</w:t>
      </w:r>
      <w:r>
        <w:rPr>
          <w:rFonts w:hint="eastAsia" w:ascii="宋体" w:hAnsi="宋体" w:eastAsia="宋体" w:cs="宋体"/>
          <w:highlight w:val="none"/>
        </w:rPr>
        <w:t>编号：</w:t>
      </w:r>
    </w:p>
    <w:p w14:paraId="6F64F05A">
      <w:pPr>
        <w:pStyle w:val="10"/>
        <w:spacing w:line="360" w:lineRule="auto"/>
        <w:ind w:firstLine="3694" w:firstLineChars="1600"/>
        <w:jc w:val="both"/>
        <w:rPr>
          <w:rFonts w:hint="default" w:ascii="宋体" w:hAnsi="宋体" w:eastAsia="宋体" w:cs="宋体"/>
          <w:b/>
          <w:bCs/>
          <w:kern w:val="2"/>
          <w:sz w:val="23"/>
          <w:szCs w:val="23"/>
          <w:highlight w:val="none"/>
          <w:lang w:val="en-US" w:eastAsia="zh-CN" w:bidi="zh-CN"/>
        </w:rPr>
      </w:pPr>
      <w:r>
        <w:rPr>
          <w:rFonts w:hint="eastAsia" w:ascii="宋体" w:hAnsi="宋体" w:eastAsia="宋体" w:cs="宋体"/>
          <w:b/>
          <w:bCs/>
          <w:kern w:val="2"/>
          <w:sz w:val="23"/>
          <w:szCs w:val="23"/>
          <w:highlight w:val="none"/>
          <w:lang w:val="en-US" w:eastAsia="zh-CN" w:bidi="zh-CN"/>
        </w:rPr>
        <w:t>招标编号：</w:t>
      </w:r>
    </w:p>
    <w:p w14:paraId="753FEFFB">
      <w:pPr>
        <w:pStyle w:val="10"/>
        <w:spacing w:line="360" w:lineRule="auto"/>
        <w:rPr>
          <w:rFonts w:hint="eastAsia" w:ascii="宋体" w:hAnsi="宋体" w:eastAsia="宋体" w:cs="宋体"/>
          <w:b/>
          <w:bCs/>
          <w:kern w:val="2"/>
          <w:sz w:val="23"/>
          <w:szCs w:val="23"/>
          <w:highlight w:val="none"/>
          <w:lang w:val="en-US" w:eastAsia="zh-CN" w:bidi="zh-CN"/>
        </w:rPr>
      </w:pPr>
    </w:p>
    <w:p w14:paraId="5C60E120">
      <w:pPr>
        <w:pStyle w:val="10"/>
        <w:rPr>
          <w:rFonts w:hint="eastAsia" w:ascii="宋体" w:hAnsi="宋体" w:eastAsia="宋体" w:cs="宋体"/>
          <w:b/>
          <w:highlight w:val="none"/>
        </w:rPr>
      </w:pPr>
    </w:p>
    <w:p w14:paraId="6FBF272D">
      <w:pPr>
        <w:pStyle w:val="10"/>
        <w:rPr>
          <w:rFonts w:hint="eastAsia" w:ascii="宋体" w:hAnsi="宋体" w:eastAsia="宋体" w:cs="宋体"/>
          <w:b/>
          <w:highlight w:val="none"/>
        </w:rPr>
      </w:pPr>
    </w:p>
    <w:p w14:paraId="17A059D2">
      <w:pPr>
        <w:pStyle w:val="10"/>
        <w:rPr>
          <w:rFonts w:hint="eastAsia" w:ascii="宋体" w:hAnsi="宋体" w:eastAsia="宋体" w:cs="宋体"/>
          <w:b/>
          <w:highlight w:val="none"/>
        </w:rPr>
      </w:pPr>
    </w:p>
    <w:p w14:paraId="0545F846">
      <w:pPr>
        <w:pStyle w:val="10"/>
        <w:spacing w:before="2"/>
        <w:rPr>
          <w:rFonts w:hint="eastAsia" w:ascii="宋体" w:hAnsi="宋体" w:eastAsia="宋体" w:cs="宋体"/>
          <w:b/>
          <w:sz w:val="26"/>
          <w:highlight w:val="none"/>
        </w:rPr>
      </w:pPr>
    </w:p>
    <w:p w14:paraId="7595D4D7">
      <w:pPr>
        <w:tabs>
          <w:tab w:val="left" w:pos="751"/>
          <w:tab w:val="left" w:pos="1381"/>
          <w:tab w:val="left" w:pos="5326"/>
        </w:tabs>
        <w:spacing w:before="70"/>
        <w:ind w:left="121" w:right="0" w:firstLine="0"/>
        <w:jc w:val="center"/>
        <w:rPr>
          <w:rFonts w:hint="eastAsia" w:ascii="宋体" w:hAnsi="宋体" w:eastAsia="宋体" w:cs="宋体"/>
          <w:b/>
          <w:sz w:val="31"/>
          <w:highlight w:val="none"/>
        </w:rPr>
      </w:pPr>
    </w:p>
    <w:p w14:paraId="502AE806">
      <w:pPr>
        <w:tabs>
          <w:tab w:val="left" w:pos="751"/>
          <w:tab w:val="left" w:pos="1381"/>
          <w:tab w:val="left" w:pos="5326"/>
        </w:tabs>
        <w:spacing w:before="70"/>
        <w:ind w:left="121" w:right="0" w:firstLine="0"/>
        <w:jc w:val="center"/>
        <w:rPr>
          <w:rFonts w:hint="eastAsia" w:ascii="宋体" w:hAnsi="宋体" w:eastAsia="宋体" w:cs="宋体"/>
          <w:b/>
          <w:sz w:val="31"/>
          <w:highlight w:val="none"/>
        </w:rPr>
      </w:pPr>
    </w:p>
    <w:p w14:paraId="76C847EF">
      <w:pPr>
        <w:tabs>
          <w:tab w:val="left" w:pos="751"/>
          <w:tab w:val="left" w:pos="1381"/>
          <w:tab w:val="left" w:pos="5326"/>
        </w:tabs>
        <w:spacing w:before="70"/>
        <w:ind w:left="121" w:right="0" w:firstLine="0"/>
        <w:jc w:val="center"/>
        <w:rPr>
          <w:rFonts w:hint="eastAsia" w:ascii="宋体" w:hAnsi="宋体" w:eastAsia="宋体" w:cs="宋体"/>
          <w:b/>
          <w:sz w:val="31"/>
          <w:highlight w:val="none"/>
        </w:rPr>
      </w:pPr>
    </w:p>
    <w:p w14:paraId="57EBE9CC">
      <w:pPr>
        <w:tabs>
          <w:tab w:val="left" w:pos="751"/>
          <w:tab w:val="left" w:pos="1381"/>
          <w:tab w:val="left" w:pos="5326"/>
        </w:tabs>
        <w:spacing w:before="70"/>
        <w:ind w:left="121" w:right="0" w:firstLine="0"/>
        <w:jc w:val="center"/>
        <w:rPr>
          <w:rFonts w:hint="eastAsia" w:ascii="宋体" w:hAnsi="宋体" w:eastAsia="宋体" w:cs="宋体"/>
          <w:b/>
          <w:sz w:val="40"/>
          <w:highlight w:val="none"/>
        </w:rPr>
      </w:pPr>
      <w:r>
        <w:rPr>
          <w:rFonts w:hint="eastAsia" w:ascii="宋体" w:hAnsi="宋体" w:eastAsia="宋体" w:cs="宋体"/>
          <w:b/>
          <w:sz w:val="31"/>
          <w:highlight w:val="none"/>
        </w:rPr>
        <w:t>供</w:t>
      </w:r>
      <w:r>
        <w:rPr>
          <w:rFonts w:hint="eastAsia" w:ascii="宋体" w:hAnsi="宋体" w:eastAsia="宋体" w:cs="宋体"/>
          <w:b/>
          <w:sz w:val="31"/>
          <w:highlight w:val="none"/>
        </w:rPr>
        <w:tab/>
      </w:r>
      <w:r>
        <w:rPr>
          <w:rFonts w:hint="eastAsia" w:ascii="宋体" w:hAnsi="宋体" w:eastAsia="宋体" w:cs="宋体"/>
          <w:b/>
          <w:sz w:val="31"/>
          <w:highlight w:val="none"/>
        </w:rPr>
        <w:t>应</w:t>
      </w:r>
      <w:r>
        <w:rPr>
          <w:rFonts w:hint="eastAsia" w:ascii="宋体" w:hAnsi="宋体" w:eastAsia="宋体" w:cs="宋体"/>
          <w:b/>
          <w:sz w:val="31"/>
          <w:highlight w:val="none"/>
        </w:rPr>
        <w:tab/>
      </w:r>
      <w:r>
        <w:rPr>
          <w:rFonts w:hint="eastAsia" w:ascii="宋体" w:hAnsi="宋体" w:eastAsia="宋体" w:cs="宋体"/>
          <w:b/>
          <w:sz w:val="31"/>
          <w:highlight w:val="none"/>
        </w:rPr>
        <w:t>商</w:t>
      </w:r>
      <w:r>
        <w:rPr>
          <w:rFonts w:hint="eastAsia" w:ascii="宋体" w:hAnsi="宋体" w:eastAsia="宋体" w:cs="宋体"/>
          <w:b/>
          <w:spacing w:val="-3"/>
          <w:sz w:val="31"/>
          <w:highlight w:val="none"/>
        </w:rPr>
        <w:t>：</w:t>
      </w:r>
      <w:r>
        <w:rPr>
          <w:rFonts w:hint="eastAsia" w:ascii="宋体" w:hAnsi="宋体" w:eastAsia="宋体" w:cs="宋体"/>
          <w:b/>
          <w:spacing w:val="-3"/>
          <w:sz w:val="31"/>
          <w:highlight w:val="none"/>
          <w:u w:val="single"/>
        </w:rPr>
        <w:t xml:space="preserve"> </w:t>
      </w:r>
      <w:r>
        <w:rPr>
          <w:rFonts w:hint="eastAsia" w:ascii="宋体" w:hAnsi="宋体" w:eastAsia="宋体" w:cs="宋体"/>
          <w:b/>
          <w:spacing w:val="-3"/>
          <w:sz w:val="31"/>
          <w:highlight w:val="none"/>
          <w:u w:val="single"/>
        </w:rPr>
        <w:tab/>
      </w:r>
      <w:r>
        <w:rPr>
          <w:rFonts w:hint="eastAsia" w:ascii="宋体" w:hAnsi="宋体" w:eastAsia="宋体" w:cs="宋体"/>
          <w:b/>
          <w:sz w:val="31"/>
          <w:highlight w:val="none"/>
        </w:rPr>
        <w:t>（盖单位</w:t>
      </w:r>
      <w:r>
        <w:rPr>
          <w:rFonts w:hint="eastAsia" w:ascii="宋体" w:hAnsi="宋体" w:eastAsia="宋体" w:cs="宋体"/>
          <w:b/>
          <w:spacing w:val="3"/>
          <w:sz w:val="31"/>
          <w:highlight w:val="none"/>
        </w:rPr>
        <w:t>章</w:t>
      </w:r>
      <w:r>
        <w:rPr>
          <w:rFonts w:hint="eastAsia" w:ascii="宋体" w:hAnsi="宋体" w:eastAsia="宋体" w:cs="宋体"/>
          <w:b/>
          <w:sz w:val="31"/>
          <w:highlight w:val="none"/>
        </w:rPr>
        <w:t>）</w:t>
      </w:r>
    </w:p>
    <w:p w14:paraId="5CA167AE">
      <w:pPr>
        <w:tabs>
          <w:tab w:val="left" w:pos="4319"/>
          <w:tab w:val="left" w:pos="5942"/>
          <w:tab w:val="left" w:pos="6826"/>
          <w:tab w:val="left" w:pos="7542"/>
          <w:tab w:val="left" w:pos="7706"/>
        </w:tabs>
        <w:spacing w:before="0" w:line="530" w:lineRule="auto"/>
        <w:ind w:right="1167" w:firstLine="1165" w:firstLineChars="400"/>
        <w:jc w:val="left"/>
        <w:rPr>
          <w:rFonts w:hint="eastAsia" w:ascii="宋体" w:hAnsi="宋体" w:eastAsia="宋体" w:cs="宋体"/>
          <w:b/>
          <w:spacing w:val="-16"/>
          <w:sz w:val="29"/>
          <w:highlight w:val="none"/>
        </w:rPr>
      </w:pPr>
      <w:r>
        <w:rPr>
          <w:rFonts w:hint="eastAsia" w:ascii="宋体" w:hAnsi="宋体" w:cs="宋体"/>
          <w:b/>
          <w:sz w:val="29"/>
          <w:highlight w:val="none"/>
          <w:lang w:eastAsia="zh-CN"/>
        </w:rPr>
        <w:t>法定代表人</w:t>
      </w:r>
      <w:r>
        <w:rPr>
          <w:rFonts w:hint="eastAsia" w:ascii="宋体" w:hAnsi="宋体" w:eastAsia="宋体" w:cs="宋体"/>
          <w:b/>
          <w:sz w:val="29"/>
          <w:highlight w:val="none"/>
        </w:rPr>
        <w:t>或其委托代理人：</w:t>
      </w:r>
      <w:r>
        <w:rPr>
          <w:rFonts w:hint="eastAsia" w:ascii="宋体" w:hAnsi="宋体" w:eastAsia="宋体" w:cs="宋体"/>
          <w:b/>
          <w:sz w:val="29"/>
          <w:highlight w:val="none"/>
          <w:u w:val="single"/>
        </w:rPr>
        <w:t xml:space="preserve"> </w:t>
      </w:r>
      <w:r>
        <w:rPr>
          <w:rFonts w:hint="eastAsia" w:ascii="宋体" w:hAnsi="宋体" w:eastAsia="宋体" w:cs="宋体"/>
          <w:b/>
          <w:sz w:val="29"/>
          <w:highlight w:val="none"/>
          <w:u w:val="single"/>
        </w:rPr>
        <w:tab/>
      </w:r>
      <w:r>
        <w:rPr>
          <w:rFonts w:hint="eastAsia" w:ascii="宋体" w:hAnsi="宋体" w:cs="宋体"/>
          <w:b/>
          <w:sz w:val="29"/>
          <w:highlight w:val="none"/>
          <w:u w:val="single"/>
          <w:lang w:val="en-US" w:eastAsia="zh-CN"/>
        </w:rPr>
        <w:t xml:space="preserve">     </w:t>
      </w:r>
      <w:r>
        <w:rPr>
          <w:rFonts w:hint="eastAsia" w:ascii="宋体" w:hAnsi="宋体" w:eastAsia="宋体" w:cs="宋体"/>
          <w:b/>
          <w:sz w:val="29"/>
          <w:highlight w:val="none"/>
        </w:rPr>
        <w:t>（</w:t>
      </w:r>
      <w:r>
        <w:rPr>
          <w:rFonts w:hint="eastAsia" w:ascii="宋体" w:hAnsi="宋体" w:eastAsia="宋体" w:cs="宋体"/>
          <w:b/>
          <w:spacing w:val="-5"/>
          <w:sz w:val="29"/>
          <w:highlight w:val="none"/>
        </w:rPr>
        <w:t>签</w:t>
      </w:r>
      <w:r>
        <w:rPr>
          <w:rFonts w:hint="eastAsia" w:ascii="宋体" w:hAnsi="宋体" w:eastAsia="宋体" w:cs="宋体"/>
          <w:b/>
          <w:sz w:val="29"/>
          <w:highlight w:val="none"/>
        </w:rPr>
        <w:t>字或盖章</w:t>
      </w:r>
      <w:r>
        <w:rPr>
          <w:rFonts w:hint="eastAsia" w:ascii="宋体" w:hAnsi="宋体" w:eastAsia="宋体" w:cs="宋体"/>
          <w:b/>
          <w:spacing w:val="-16"/>
          <w:sz w:val="29"/>
          <w:highlight w:val="none"/>
        </w:rPr>
        <w:t>）</w:t>
      </w:r>
    </w:p>
    <w:p w14:paraId="1A83FC50">
      <w:pPr>
        <w:tabs>
          <w:tab w:val="left" w:pos="4319"/>
          <w:tab w:val="left" w:pos="5942"/>
          <w:tab w:val="left" w:pos="6826"/>
          <w:tab w:val="left" w:pos="7542"/>
          <w:tab w:val="left" w:pos="7706"/>
        </w:tabs>
        <w:spacing w:before="0" w:line="530" w:lineRule="auto"/>
        <w:ind w:right="1167"/>
        <w:jc w:val="left"/>
        <w:rPr>
          <w:rFonts w:hint="eastAsia" w:ascii="宋体" w:hAnsi="宋体" w:eastAsia="宋体" w:cs="宋体"/>
          <w:b/>
          <w:sz w:val="29"/>
          <w:highlight w:val="none"/>
        </w:rPr>
      </w:pPr>
      <w:r>
        <w:rPr>
          <w:rFonts w:hint="eastAsia" w:ascii="宋体" w:hAnsi="宋体" w:eastAsia="宋体" w:cs="宋体"/>
          <w:b/>
          <w:spacing w:val="-16"/>
          <w:sz w:val="29"/>
          <w:highlight w:val="none"/>
        </w:rPr>
        <w:t xml:space="preserve"> </w:t>
      </w:r>
      <w:r>
        <w:rPr>
          <w:rFonts w:hint="eastAsia" w:ascii="宋体" w:hAnsi="宋体" w:eastAsia="宋体" w:cs="宋体"/>
          <w:b/>
          <w:spacing w:val="-16"/>
          <w:sz w:val="29"/>
          <w:highlight w:val="none"/>
          <w:lang w:val="en-US" w:eastAsia="zh-CN"/>
        </w:rPr>
        <w:t xml:space="preserve">     </w:t>
      </w:r>
      <w:r>
        <w:rPr>
          <w:rFonts w:hint="eastAsia" w:ascii="宋体" w:hAnsi="宋体" w:cs="宋体"/>
          <w:b/>
          <w:spacing w:val="-16"/>
          <w:sz w:val="29"/>
          <w:highlight w:val="none"/>
          <w:lang w:val="en-US" w:eastAsia="zh-CN"/>
        </w:rPr>
        <w:t xml:space="preserve">   </w:t>
      </w:r>
      <w:r>
        <w:rPr>
          <w:rFonts w:hint="eastAsia" w:ascii="宋体" w:hAnsi="宋体" w:eastAsia="宋体" w:cs="宋体"/>
          <w:b/>
          <w:spacing w:val="-16"/>
          <w:sz w:val="29"/>
          <w:highlight w:val="none"/>
          <w:lang w:val="en-US" w:eastAsia="zh-CN"/>
        </w:rPr>
        <w:t xml:space="preserve">   </w:t>
      </w:r>
      <w:r>
        <w:rPr>
          <w:rFonts w:hint="eastAsia" w:ascii="宋体" w:hAnsi="宋体" w:eastAsia="宋体" w:cs="宋体"/>
          <w:b/>
          <w:sz w:val="29"/>
          <w:highlight w:val="none"/>
        </w:rPr>
        <w:t>日</w:t>
      </w:r>
      <w:r>
        <w:rPr>
          <w:rFonts w:hint="eastAsia" w:ascii="宋体" w:hAnsi="宋体" w:eastAsia="宋体" w:cs="宋体"/>
          <w:b/>
          <w:sz w:val="29"/>
          <w:highlight w:val="none"/>
          <w:lang w:val="en-US" w:eastAsia="zh-CN"/>
        </w:rPr>
        <w:t xml:space="preserve">      </w:t>
      </w:r>
      <w:r>
        <w:rPr>
          <w:rFonts w:hint="eastAsia" w:ascii="宋体" w:hAnsi="宋体" w:eastAsia="宋体" w:cs="宋体"/>
          <w:b/>
          <w:spacing w:val="-5"/>
          <w:sz w:val="29"/>
          <w:highlight w:val="none"/>
        </w:rPr>
        <w:t>期</w:t>
      </w:r>
      <w:r>
        <w:rPr>
          <w:rFonts w:hint="eastAsia" w:ascii="宋体" w:hAnsi="宋体" w:eastAsia="宋体" w:cs="宋体"/>
          <w:b/>
          <w:sz w:val="29"/>
          <w:highlight w:val="none"/>
        </w:rPr>
        <w:t>：</w:t>
      </w:r>
      <w:r>
        <w:rPr>
          <w:rFonts w:hint="eastAsia" w:ascii="宋体" w:hAnsi="宋体" w:eastAsia="宋体" w:cs="宋体"/>
          <w:b/>
          <w:sz w:val="29"/>
          <w:highlight w:val="none"/>
          <w:u w:val="single"/>
        </w:rPr>
        <w:tab/>
      </w:r>
      <w:r>
        <w:rPr>
          <w:rFonts w:hint="eastAsia" w:ascii="宋体" w:hAnsi="宋体" w:eastAsia="宋体" w:cs="宋体"/>
          <w:b/>
          <w:sz w:val="29"/>
          <w:highlight w:val="none"/>
        </w:rPr>
        <w:t>年</w:t>
      </w:r>
      <w:r>
        <w:rPr>
          <w:rFonts w:hint="eastAsia" w:ascii="宋体" w:hAnsi="宋体" w:eastAsia="宋体" w:cs="宋体"/>
          <w:b/>
          <w:sz w:val="29"/>
          <w:highlight w:val="none"/>
          <w:u w:val="single"/>
        </w:rPr>
        <w:tab/>
      </w:r>
      <w:r>
        <w:rPr>
          <w:rFonts w:hint="eastAsia" w:ascii="宋体" w:hAnsi="宋体" w:eastAsia="宋体" w:cs="宋体"/>
          <w:b/>
          <w:sz w:val="29"/>
          <w:highlight w:val="none"/>
        </w:rPr>
        <w:t>月</w:t>
      </w:r>
      <w:r>
        <w:rPr>
          <w:rFonts w:hint="eastAsia" w:ascii="宋体" w:hAnsi="宋体" w:eastAsia="宋体" w:cs="宋体"/>
          <w:b/>
          <w:sz w:val="29"/>
          <w:highlight w:val="none"/>
          <w:u w:val="single"/>
        </w:rPr>
        <w:tab/>
      </w:r>
      <w:r>
        <w:rPr>
          <w:rFonts w:hint="eastAsia" w:ascii="宋体" w:hAnsi="宋体" w:eastAsia="宋体" w:cs="宋体"/>
          <w:b/>
          <w:sz w:val="29"/>
          <w:highlight w:val="none"/>
          <w:u w:val="single"/>
        </w:rPr>
        <w:tab/>
      </w:r>
      <w:r>
        <w:rPr>
          <w:rFonts w:hint="eastAsia" w:ascii="宋体" w:hAnsi="宋体" w:eastAsia="宋体" w:cs="宋体"/>
          <w:b/>
          <w:sz w:val="29"/>
          <w:highlight w:val="none"/>
        </w:rPr>
        <w:t>日</w:t>
      </w:r>
    </w:p>
    <w:p w14:paraId="607B6B78">
      <w:pPr>
        <w:pStyle w:val="26"/>
        <w:tabs>
          <w:tab w:val="left" w:pos="565"/>
        </w:tabs>
        <w:jc w:val="left"/>
        <w:rPr>
          <w:rFonts w:hint="eastAsia" w:ascii="宋体" w:hAnsi="宋体" w:eastAsia="宋体" w:cs="宋体"/>
          <w:color w:val="000000"/>
          <w:szCs w:val="21"/>
          <w:highlight w:val="none"/>
          <w:lang w:eastAsia="zh-CN"/>
        </w:rPr>
      </w:pPr>
    </w:p>
    <w:p w14:paraId="45DD3448">
      <w:pPr>
        <w:pStyle w:val="26"/>
        <w:rPr>
          <w:rFonts w:hint="eastAsia" w:ascii="宋体" w:hAnsi="宋体" w:eastAsia="宋体" w:cs="宋体"/>
          <w:color w:val="000000"/>
          <w:szCs w:val="21"/>
          <w:highlight w:val="none"/>
        </w:rPr>
      </w:pPr>
    </w:p>
    <w:p w14:paraId="67CEF042">
      <w:pPr>
        <w:pStyle w:val="26"/>
        <w:rPr>
          <w:rFonts w:hint="eastAsia" w:ascii="宋体" w:hAnsi="宋体"/>
          <w:color w:val="000000"/>
          <w:szCs w:val="21"/>
          <w:highlight w:val="none"/>
        </w:rPr>
      </w:pPr>
    </w:p>
    <w:p w14:paraId="47AE3BCB">
      <w:pPr>
        <w:pStyle w:val="4"/>
        <w:jc w:val="center"/>
        <w:rPr>
          <w:rFonts w:hint="eastAsia"/>
          <w:color w:val="000000"/>
          <w:sz w:val="28"/>
          <w:szCs w:val="28"/>
          <w:highlight w:val="none"/>
        </w:rPr>
      </w:pPr>
      <w:bookmarkStart w:id="37" w:name="_Toc432410317"/>
      <w:bookmarkStart w:id="38" w:name="_Toc30818"/>
      <w:r>
        <w:rPr>
          <w:rFonts w:hint="eastAsia"/>
          <w:color w:val="000000"/>
          <w:sz w:val="28"/>
          <w:szCs w:val="28"/>
          <w:highlight w:val="none"/>
        </w:rPr>
        <w:t>目  录</w:t>
      </w:r>
      <w:bookmarkEnd w:id="37"/>
      <w:bookmarkEnd w:id="38"/>
    </w:p>
    <w:p w14:paraId="11F92C38">
      <w:pPr>
        <w:spacing w:line="360" w:lineRule="auto"/>
        <w:jc w:val="center"/>
        <w:outlineLvl w:val="2"/>
        <w:rPr>
          <w:rFonts w:hint="default"/>
          <w:b w:val="0"/>
          <w:bCs w:val="0"/>
          <w:sz w:val="18"/>
          <w:szCs w:val="18"/>
          <w:highlight w:val="none"/>
          <w:lang w:val="en-US" w:eastAsia="zh-CN"/>
        </w:rPr>
      </w:pPr>
      <w:bookmarkStart w:id="39" w:name="_Toc6900"/>
      <w:r>
        <w:rPr>
          <w:rFonts w:hint="eastAsia" w:ascii="Calibri" w:hAnsi="Calibri" w:eastAsia="宋体" w:cs="Times New Roman"/>
          <w:b w:val="0"/>
          <w:bCs w:val="0"/>
          <w:color w:val="000000"/>
          <w:kern w:val="2"/>
          <w:sz w:val="18"/>
          <w:szCs w:val="18"/>
          <w:highlight w:val="none"/>
          <w:lang w:val="en-US" w:eastAsia="zh-CN" w:bidi="ar-SA"/>
        </w:rPr>
        <w:t>自拟</w:t>
      </w:r>
    </w:p>
    <w:p w14:paraId="7E104E25">
      <w:pPr>
        <w:spacing w:line="360" w:lineRule="auto"/>
        <w:jc w:val="center"/>
        <w:outlineLvl w:val="2"/>
        <w:rPr>
          <w:rFonts w:hint="eastAsia"/>
          <w:b/>
          <w:sz w:val="28"/>
          <w:szCs w:val="28"/>
          <w:highlight w:val="none"/>
          <w:lang w:val="en-US" w:eastAsia="zh-CN"/>
        </w:rPr>
      </w:pPr>
    </w:p>
    <w:p w14:paraId="2CCCF939">
      <w:pPr>
        <w:spacing w:line="360" w:lineRule="auto"/>
        <w:jc w:val="center"/>
        <w:outlineLvl w:val="2"/>
        <w:rPr>
          <w:rFonts w:hint="eastAsia"/>
          <w:b/>
          <w:sz w:val="28"/>
          <w:szCs w:val="28"/>
          <w:highlight w:val="none"/>
          <w:lang w:val="en-US" w:eastAsia="zh-CN"/>
        </w:rPr>
      </w:pPr>
    </w:p>
    <w:p w14:paraId="762FC934">
      <w:pPr>
        <w:spacing w:line="360" w:lineRule="auto"/>
        <w:jc w:val="center"/>
        <w:outlineLvl w:val="2"/>
        <w:rPr>
          <w:rFonts w:hint="eastAsia"/>
          <w:b/>
          <w:sz w:val="28"/>
          <w:szCs w:val="28"/>
          <w:highlight w:val="none"/>
          <w:lang w:val="en-US" w:eastAsia="zh-CN"/>
        </w:rPr>
      </w:pPr>
    </w:p>
    <w:p w14:paraId="59FD557D">
      <w:pPr>
        <w:spacing w:line="360" w:lineRule="auto"/>
        <w:jc w:val="center"/>
        <w:outlineLvl w:val="2"/>
        <w:rPr>
          <w:rFonts w:hint="eastAsia"/>
          <w:b/>
          <w:sz w:val="28"/>
          <w:szCs w:val="28"/>
          <w:highlight w:val="none"/>
          <w:lang w:val="en-US" w:eastAsia="zh-CN"/>
        </w:rPr>
      </w:pPr>
    </w:p>
    <w:p w14:paraId="4BA19ADE">
      <w:pPr>
        <w:spacing w:line="360" w:lineRule="auto"/>
        <w:jc w:val="center"/>
        <w:outlineLvl w:val="2"/>
        <w:rPr>
          <w:rFonts w:hint="eastAsia"/>
          <w:b/>
          <w:sz w:val="28"/>
          <w:szCs w:val="28"/>
          <w:highlight w:val="none"/>
          <w:lang w:val="en-US" w:eastAsia="zh-CN"/>
        </w:rPr>
      </w:pPr>
    </w:p>
    <w:p w14:paraId="5FE768A5">
      <w:pPr>
        <w:spacing w:line="360" w:lineRule="auto"/>
        <w:jc w:val="center"/>
        <w:outlineLvl w:val="2"/>
        <w:rPr>
          <w:rFonts w:hint="eastAsia"/>
          <w:b/>
          <w:sz w:val="28"/>
          <w:szCs w:val="28"/>
          <w:highlight w:val="none"/>
          <w:lang w:val="en-US" w:eastAsia="zh-CN"/>
        </w:rPr>
      </w:pPr>
    </w:p>
    <w:p w14:paraId="3E10388B">
      <w:pPr>
        <w:spacing w:line="360" w:lineRule="auto"/>
        <w:jc w:val="center"/>
        <w:outlineLvl w:val="2"/>
        <w:rPr>
          <w:rFonts w:hint="eastAsia"/>
          <w:b/>
          <w:sz w:val="28"/>
          <w:szCs w:val="28"/>
          <w:highlight w:val="none"/>
          <w:lang w:val="en-US" w:eastAsia="zh-CN"/>
        </w:rPr>
      </w:pPr>
    </w:p>
    <w:p w14:paraId="6C65634E">
      <w:pPr>
        <w:spacing w:line="360" w:lineRule="auto"/>
        <w:jc w:val="center"/>
        <w:outlineLvl w:val="2"/>
        <w:rPr>
          <w:rFonts w:hint="eastAsia"/>
          <w:b/>
          <w:sz w:val="28"/>
          <w:szCs w:val="28"/>
          <w:highlight w:val="none"/>
          <w:lang w:val="en-US" w:eastAsia="zh-CN"/>
        </w:rPr>
      </w:pPr>
    </w:p>
    <w:p w14:paraId="2A297676">
      <w:pPr>
        <w:spacing w:line="360" w:lineRule="auto"/>
        <w:jc w:val="center"/>
        <w:outlineLvl w:val="2"/>
        <w:rPr>
          <w:rFonts w:hint="eastAsia"/>
          <w:b/>
          <w:sz w:val="28"/>
          <w:szCs w:val="28"/>
          <w:highlight w:val="none"/>
          <w:lang w:val="en-US" w:eastAsia="zh-CN"/>
        </w:rPr>
      </w:pPr>
    </w:p>
    <w:p w14:paraId="08D7DC59">
      <w:pPr>
        <w:spacing w:line="360" w:lineRule="auto"/>
        <w:jc w:val="both"/>
        <w:outlineLvl w:val="2"/>
        <w:rPr>
          <w:rFonts w:hint="eastAsia"/>
          <w:b/>
          <w:sz w:val="28"/>
          <w:szCs w:val="28"/>
          <w:highlight w:val="none"/>
          <w:lang w:val="en-US" w:eastAsia="zh-CN"/>
        </w:rPr>
      </w:pPr>
    </w:p>
    <w:p w14:paraId="577FC5DD">
      <w:pPr>
        <w:spacing w:line="360" w:lineRule="auto"/>
        <w:jc w:val="center"/>
        <w:outlineLvl w:val="2"/>
        <w:rPr>
          <w:rFonts w:hint="eastAsia"/>
          <w:b/>
          <w:sz w:val="22"/>
          <w:szCs w:val="22"/>
          <w:highlight w:val="none"/>
          <w:lang w:val="en-US" w:eastAsia="zh-CN"/>
        </w:rPr>
      </w:pPr>
    </w:p>
    <w:p w14:paraId="2763CBA6">
      <w:pPr>
        <w:spacing w:line="360" w:lineRule="auto"/>
        <w:jc w:val="center"/>
        <w:outlineLvl w:val="2"/>
        <w:rPr>
          <w:rFonts w:hint="eastAsia"/>
          <w:b/>
          <w:sz w:val="22"/>
          <w:szCs w:val="22"/>
          <w:highlight w:val="none"/>
          <w:lang w:val="en-US" w:eastAsia="zh-CN"/>
        </w:rPr>
      </w:pPr>
    </w:p>
    <w:p w14:paraId="16C89D04">
      <w:pPr>
        <w:spacing w:line="360" w:lineRule="auto"/>
        <w:jc w:val="center"/>
        <w:outlineLvl w:val="2"/>
        <w:rPr>
          <w:rFonts w:hint="eastAsia"/>
          <w:b/>
          <w:sz w:val="22"/>
          <w:szCs w:val="22"/>
          <w:highlight w:val="none"/>
          <w:lang w:val="en-US" w:eastAsia="zh-CN"/>
        </w:rPr>
      </w:pPr>
    </w:p>
    <w:p w14:paraId="4CF23DEA">
      <w:pPr>
        <w:spacing w:line="360" w:lineRule="auto"/>
        <w:jc w:val="center"/>
        <w:outlineLvl w:val="2"/>
        <w:rPr>
          <w:rFonts w:hint="eastAsia"/>
          <w:b/>
          <w:sz w:val="22"/>
          <w:szCs w:val="22"/>
          <w:highlight w:val="none"/>
          <w:lang w:val="en-US" w:eastAsia="zh-CN"/>
        </w:rPr>
      </w:pPr>
    </w:p>
    <w:p w14:paraId="7CFB0A67">
      <w:pPr>
        <w:spacing w:line="360" w:lineRule="auto"/>
        <w:jc w:val="center"/>
        <w:outlineLvl w:val="2"/>
        <w:rPr>
          <w:rFonts w:hint="eastAsia"/>
          <w:b/>
          <w:sz w:val="22"/>
          <w:szCs w:val="22"/>
          <w:highlight w:val="none"/>
          <w:lang w:val="en-US" w:eastAsia="zh-CN"/>
        </w:rPr>
      </w:pPr>
    </w:p>
    <w:p w14:paraId="0E43810B">
      <w:pP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br w:type="page"/>
      </w:r>
    </w:p>
    <w:p w14:paraId="53FDD588">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一、投标函</w:t>
      </w:r>
      <w:bookmarkEnd w:id="39"/>
      <w:r>
        <w:rPr>
          <w:rFonts w:hint="eastAsia" w:ascii="宋体" w:hAnsi="宋体" w:eastAsia="宋体" w:cs="宋体"/>
          <w:b/>
          <w:bCs/>
          <w:color w:val="000000"/>
          <w:kern w:val="0"/>
          <w:sz w:val="24"/>
          <w:szCs w:val="24"/>
          <w:highlight w:val="none"/>
          <w:lang w:val="en-US" w:eastAsia="zh-CN" w:bidi="ar"/>
        </w:rPr>
        <w:t xml:space="preserve"> </w:t>
      </w:r>
    </w:p>
    <w:p w14:paraId="6AEDA248">
      <w:pPr>
        <w:spacing w:line="360" w:lineRule="auto"/>
        <w:ind w:firstLine="420" w:firstLineChars="200"/>
        <w:jc w:val="left"/>
        <w:outlineLvl w:val="2"/>
        <w:rPr>
          <w:rFonts w:hint="eastAsia"/>
          <w:b w:val="0"/>
          <w:bCs/>
          <w:sz w:val="21"/>
          <w:szCs w:val="21"/>
          <w:highlight w:val="none"/>
          <w:lang w:val="en-US" w:eastAsia="zh-CN"/>
        </w:rPr>
      </w:pPr>
      <w:bookmarkStart w:id="40" w:name="_Toc21298"/>
    </w:p>
    <w:p w14:paraId="1B9EE274">
      <w:pPr>
        <w:spacing w:line="360" w:lineRule="auto"/>
        <w:ind w:firstLine="420" w:firstLineChars="200"/>
        <w:jc w:val="left"/>
        <w:outlineLvl w:val="2"/>
        <w:rPr>
          <w:rFonts w:hint="eastAsia"/>
          <w:b w:val="0"/>
          <w:bCs/>
          <w:sz w:val="21"/>
          <w:szCs w:val="21"/>
          <w:highlight w:val="none"/>
        </w:rPr>
      </w:pPr>
      <w:r>
        <w:rPr>
          <w:rFonts w:hint="eastAsia"/>
          <w:b w:val="0"/>
          <w:bCs/>
          <w:sz w:val="21"/>
          <w:szCs w:val="21"/>
          <w:highlight w:val="none"/>
          <w:lang w:val="en-US" w:eastAsia="zh-CN"/>
        </w:rPr>
        <w:t>1．根据已收到的（项目名称）</w:t>
      </w:r>
      <w:r>
        <w:rPr>
          <w:rFonts w:hint="eastAsia"/>
          <w:b w:val="0"/>
          <w:bCs/>
          <w:sz w:val="21"/>
          <w:szCs w:val="21"/>
          <w:highlight w:val="none"/>
          <w:u w:val="single"/>
          <w:lang w:val="en-US" w:eastAsia="zh-CN"/>
        </w:rPr>
        <w:t xml:space="preserve">             </w:t>
      </w:r>
      <w:r>
        <w:rPr>
          <w:rFonts w:hint="eastAsia"/>
          <w:b w:val="0"/>
          <w:bCs/>
          <w:sz w:val="21"/>
          <w:szCs w:val="21"/>
          <w:highlight w:val="none"/>
          <w:lang w:val="en-US" w:eastAsia="zh-CN"/>
        </w:rPr>
        <w:t>的招标文件，经考察和认真研究本项目招标文件及其它有关文件后，我方愿意遵守招标文件中的各项规定，严格按照“招标文件及采购人要求” 实施本项目，投标报价为</w:t>
      </w:r>
      <w:r>
        <w:rPr>
          <w:rFonts w:hint="eastAsia"/>
          <w:b w:val="0"/>
          <w:bCs/>
          <w:sz w:val="21"/>
          <w:szCs w:val="21"/>
          <w:highlight w:val="none"/>
          <w:u w:val="none"/>
          <w:lang w:val="en-US" w:eastAsia="zh-CN"/>
        </w:rPr>
        <w:t>（大写）</w:t>
      </w:r>
      <w:r>
        <w:rPr>
          <w:rFonts w:hint="eastAsia"/>
          <w:b w:val="0"/>
          <w:bCs/>
          <w:sz w:val="21"/>
          <w:szCs w:val="21"/>
          <w:highlight w:val="none"/>
          <w:u w:val="single"/>
          <w:lang w:val="en-US" w:eastAsia="zh-CN"/>
        </w:rPr>
        <w:t xml:space="preserve">             </w:t>
      </w:r>
      <w:r>
        <w:rPr>
          <w:rFonts w:hint="eastAsia"/>
          <w:b w:val="0"/>
          <w:bCs/>
          <w:sz w:val="21"/>
          <w:szCs w:val="21"/>
          <w:highlight w:val="none"/>
          <w:lang w:val="en-US" w:eastAsia="zh-CN"/>
        </w:rPr>
        <w:t>（小写）：</w:t>
      </w:r>
      <w:r>
        <w:rPr>
          <w:rFonts w:hint="eastAsia"/>
          <w:b w:val="0"/>
          <w:bCs/>
          <w:sz w:val="21"/>
          <w:szCs w:val="21"/>
          <w:highlight w:val="none"/>
          <w:u w:val="single"/>
          <w:lang w:val="en-US" w:eastAsia="zh-CN"/>
        </w:rPr>
        <w:t xml:space="preserve">               </w:t>
      </w:r>
      <w:r>
        <w:rPr>
          <w:rFonts w:hint="eastAsia"/>
          <w:b w:val="0"/>
          <w:bCs/>
          <w:sz w:val="21"/>
          <w:szCs w:val="21"/>
          <w:highlight w:val="none"/>
          <w:lang w:val="en-US" w:eastAsia="zh-CN"/>
        </w:rPr>
        <w:t>，并承担其任何质量缺陷等问题所造成的任何损失。</w:t>
      </w:r>
      <w:bookmarkEnd w:id="40"/>
      <w:r>
        <w:rPr>
          <w:rFonts w:hint="eastAsia"/>
          <w:b w:val="0"/>
          <w:bCs/>
          <w:sz w:val="21"/>
          <w:szCs w:val="21"/>
          <w:highlight w:val="none"/>
          <w:lang w:val="en-US" w:eastAsia="zh-CN"/>
        </w:rPr>
        <w:t xml:space="preserve"> </w:t>
      </w:r>
    </w:p>
    <w:p w14:paraId="3813B043">
      <w:pPr>
        <w:spacing w:line="360" w:lineRule="auto"/>
        <w:ind w:firstLine="420" w:firstLineChars="200"/>
        <w:jc w:val="left"/>
        <w:outlineLvl w:val="2"/>
        <w:rPr>
          <w:rFonts w:hint="eastAsia"/>
          <w:b w:val="0"/>
          <w:bCs/>
          <w:sz w:val="21"/>
          <w:szCs w:val="21"/>
          <w:highlight w:val="none"/>
        </w:rPr>
      </w:pPr>
      <w:bookmarkStart w:id="41" w:name="_Toc12170"/>
      <w:r>
        <w:rPr>
          <w:rFonts w:hint="eastAsia"/>
          <w:b w:val="0"/>
          <w:bCs/>
          <w:sz w:val="21"/>
          <w:szCs w:val="21"/>
          <w:highlight w:val="none"/>
          <w:lang w:val="en-US" w:eastAsia="zh-CN"/>
        </w:rPr>
        <w:t>2．我方已详细检查全部招标文件包括澄清文件、补充通知（如有的话）及有关附件，并</w:t>
      </w:r>
      <w:bookmarkEnd w:id="41"/>
      <w:bookmarkStart w:id="42" w:name="_Toc7290"/>
      <w:r>
        <w:rPr>
          <w:rFonts w:hint="eastAsia"/>
          <w:b w:val="0"/>
          <w:bCs/>
          <w:sz w:val="21"/>
          <w:szCs w:val="21"/>
          <w:highlight w:val="none"/>
          <w:lang w:val="en-US" w:eastAsia="zh-CN"/>
        </w:rPr>
        <w:t>完全理解我方必须放弃提出含糊不清或误解的权力，遵循按照招标文件中的条款和要求</w:t>
      </w:r>
      <w:bookmarkEnd w:id="42"/>
      <w:bookmarkStart w:id="43" w:name="_Toc23600"/>
      <w:r>
        <w:rPr>
          <w:rFonts w:hint="eastAsia"/>
          <w:b w:val="0"/>
          <w:bCs/>
          <w:sz w:val="21"/>
          <w:szCs w:val="21"/>
          <w:highlight w:val="none"/>
          <w:lang w:val="en-US" w:eastAsia="zh-CN"/>
        </w:rPr>
        <w:t>。</w:t>
      </w:r>
      <w:bookmarkEnd w:id="43"/>
      <w:r>
        <w:rPr>
          <w:rFonts w:hint="eastAsia"/>
          <w:b w:val="0"/>
          <w:bCs/>
          <w:sz w:val="21"/>
          <w:szCs w:val="21"/>
          <w:highlight w:val="none"/>
          <w:lang w:val="en-US" w:eastAsia="zh-CN"/>
        </w:rPr>
        <w:t xml:space="preserve"> </w:t>
      </w:r>
    </w:p>
    <w:p w14:paraId="7B8766D4">
      <w:pPr>
        <w:spacing w:line="360" w:lineRule="auto"/>
        <w:ind w:firstLine="420" w:firstLineChars="200"/>
        <w:jc w:val="left"/>
        <w:outlineLvl w:val="2"/>
        <w:rPr>
          <w:rFonts w:hint="eastAsia"/>
          <w:b w:val="0"/>
          <w:bCs/>
          <w:sz w:val="21"/>
          <w:szCs w:val="21"/>
          <w:highlight w:val="none"/>
        </w:rPr>
      </w:pPr>
      <w:bookmarkStart w:id="44" w:name="_Toc9257"/>
      <w:r>
        <w:rPr>
          <w:rFonts w:hint="eastAsia"/>
          <w:b w:val="0"/>
          <w:bCs/>
          <w:sz w:val="21"/>
          <w:szCs w:val="21"/>
          <w:highlight w:val="none"/>
          <w:lang w:val="en-US" w:eastAsia="zh-CN"/>
        </w:rPr>
        <w:t>3．我方在此承诺，我方若能成交，保证在（供货期限）</w:t>
      </w:r>
      <w:r>
        <w:rPr>
          <w:rFonts w:hint="eastAsia"/>
          <w:b w:val="0"/>
          <w:bCs/>
          <w:sz w:val="21"/>
          <w:szCs w:val="21"/>
          <w:highlight w:val="none"/>
          <w:u w:val="single"/>
          <w:lang w:val="en-US" w:eastAsia="zh-CN"/>
        </w:rPr>
        <w:t xml:space="preserve">              </w:t>
      </w:r>
      <w:r>
        <w:rPr>
          <w:rFonts w:hint="eastAsia"/>
          <w:b w:val="0"/>
          <w:bCs/>
          <w:sz w:val="21"/>
          <w:szCs w:val="21"/>
          <w:highlight w:val="none"/>
          <w:lang w:val="en-US" w:eastAsia="zh-CN"/>
        </w:rPr>
        <w:t xml:space="preserve"> 完成供货。</w:t>
      </w:r>
      <w:bookmarkEnd w:id="44"/>
      <w:r>
        <w:rPr>
          <w:rFonts w:hint="eastAsia"/>
          <w:b w:val="0"/>
          <w:bCs/>
          <w:sz w:val="21"/>
          <w:szCs w:val="21"/>
          <w:highlight w:val="none"/>
          <w:lang w:val="en-US" w:eastAsia="zh-CN"/>
        </w:rPr>
        <w:t xml:space="preserve"> </w:t>
      </w:r>
    </w:p>
    <w:p w14:paraId="26FD7D7A">
      <w:pPr>
        <w:spacing w:line="360" w:lineRule="auto"/>
        <w:ind w:firstLine="420" w:firstLineChars="200"/>
        <w:jc w:val="left"/>
        <w:outlineLvl w:val="2"/>
        <w:rPr>
          <w:rFonts w:hint="eastAsia"/>
          <w:b w:val="0"/>
          <w:bCs/>
          <w:sz w:val="21"/>
          <w:szCs w:val="21"/>
          <w:highlight w:val="none"/>
        </w:rPr>
      </w:pPr>
      <w:bookmarkStart w:id="45" w:name="_Toc9949"/>
      <w:r>
        <w:rPr>
          <w:rFonts w:hint="eastAsia"/>
          <w:b w:val="0"/>
          <w:bCs/>
          <w:sz w:val="21"/>
          <w:szCs w:val="21"/>
          <w:highlight w:val="none"/>
          <w:lang w:val="en-US" w:eastAsia="zh-CN"/>
        </w:rPr>
        <w:t>4．如果我方成交，我方保证按合同条款中规定的内容执行；我方保证质量达到合格要求，并按竞</w:t>
      </w:r>
      <w:bookmarkEnd w:id="45"/>
      <w:bookmarkStart w:id="46" w:name="_Toc32533"/>
      <w:r>
        <w:rPr>
          <w:rFonts w:hint="eastAsia"/>
          <w:b w:val="0"/>
          <w:bCs/>
          <w:sz w:val="21"/>
          <w:szCs w:val="21"/>
          <w:highlight w:val="none"/>
          <w:lang w:val="en-US" w:eastAsia="zh-CN"/>
        </w:rPr>
        <w:t>争性招标文件和有关规定提交一切资料。</w:t>
      </w:r>
      <w:bookmarkEnd w:id="46"/>
      <w:r>
        <w:rPr>
          <w:rFonts w:hint="eastAsia"/>
          <w:b w:val="0"/>
          <w:bCs/>
          <w:sz w:val="21"/>
          <w:szCs w:val="21"/>
          <w:highlight w:val="none"/>
          <w:lang w:val="en-US" w:eastAsia="zh-CN"/>
        </w:rPr>
        <w:t xml:space="preserve"> </w:t>
      </w:r>
    </w:p>
    <w:p w14:paraId="3721B6EA">
      <w:pPr>
        <w:spacing w:line="360" w:lineRule="auto"/>
        <w:ind w:firstLine="420" w:firstLineChars="200"/>
        <w:jc w:val="left"/>
        <w:outlineLvl w:val="2"/>
        <w:rPr>
          <w:rFonts w:hint="eastAsia"/>
          <w:b w:val="0"/>
          <w:bCs/>
          <w:sz w:val="21"/>
          <w:szCs w:val="21"/>
          <w:highlight w:val="none"/>
        </w:rPr>
      </w:pPr>
      <w:bookmarkStart w:id="47" w:name="_Toc31200"/>
      <w:r>
        <w:rPr>
          <w:rFonts w:hint="eastAsia"/>
          <w:b w:val="0"/>
          <w:bCs/>
          <w:sz w:val="21"/>
          <w:szCs w:val="21"/>
          <w:highlight w:val="none"/>
          <w:lang w:val="en-US" w:eastAsia="zh-CN"/>
        </w:rPr>
        <w:t>5．除投标文件所提交的资料外，我方同意随时接受贵方的检查、询问，并根据投标需要补</w:t>
      </w:r>
      <w:bookmarkEnd w:id="47"/>
      <w:bookmarkStart w:id="48" w:name="_Toc12979"/>
      <w:r>
        <w:rPr>
          <w:rFonts w:hint="eastAsia"/>
          <w:b w:val="0"/>
          <w:bCs/>
          <w:sz w:val="21"/>
          <w:szCs w:val="21"/>
          <w:highlight w:val="none"/>
          <w:lang w:val="en-US" w:eastAsia="zh-CN"/>
        </w:rPr>
        <w:t>充贵方要求提交的资料。</w:t>
      </w:r>
      <w:bookmarkEnd w:id="48"/>
      <w:r>
        <w:rPr>
          <w:rFonts w:hint="eastAsia"/>
          <w:b w:val="0"/>
          <w:bCs/>
          <w:sz w:val="21"/>
          <w:szCs w:val="21"/>
          <w:highlight w:val="none"/>
          <w:lang w:val="en-US" w:eastAsia="zh-CN"/>
        </w:rPr>
        <w:t xml:space="preserve"> </w:t>
      </w:r>
    </w:p>
    <w:p w14:paraId="28D91CCF">
      <w:pPr>
        <w:spacing w:line="360" w:lineRule="auto"/>
        <w:ind w:firstLine="420" w:firstLineChars="200"/>
        <w:jc w:val="left"/>
        <w:outlineLvl w:val="2"/>
        <w:rPr>
          <w:rFonts w:hint="eastAsia"/>
          <w:b w:val="0"/>
          <w:bCs/>
          <w:sz w:val="21"/>
          <w:szCs w:val="21"/>
          <w:highlight w:val="none"/>
        </w:rPr>
      </w:pPr>
      <w:bookmarkStart w:id="49" w:name="_Toc32744"/>
      <w:r>
        <w:rPr>
          <w:rFonts w:hint="eastAsia"/>
          <w:b w:val="0"/>
          <w:bCs/>
          <w:sz w:val="21"/>
          <w:szCs w:val="21"/>
          <w:highlight w:val="none"/>
          <w:lang w:val="en-US" w:eastAsia="zh-CN"/>
        </w:rPr>
        <w:t>6．如果我方成交后，我方没有任何正当理由而拒签合同，同时我方愿意补偿该项工作因我方延</w:t>
      </w:r>
      <w:bookmarkEnd w:id="49"/>
      <w:bookmarkStart w:id="50" w:name="_Toc29615"/>
      <w:r>
        <w:rPr>
          <w:rFonts w:hint="eastAsia"/>
          <w:b w:val="0"/>
          <w:bCs/>
          <w:sz w:val="21"/>
          <w:szCs w:val="21"/>
          <w:highlight w:val="none"/>
          <w:lang w:val="en-US" w:eastAsia="zh-CN"/>
        </w:rPr>
        <w:t>误所造成的经济损失。</w:t>
      </w:r>
      <w:bookmarkEnd w:id="50"/>
      <w:r>
        <w:rPr>
          <w:rFonts w:hint="eastAsia"/>
          <w:b w:val="0"/>
          <w:bCs/>
          <w:sz w:val="21"/>
          <w:szCs w:val="21"/>
          <w:highlight w:val="none"/>
          <w:lang w:val="en-US" w:eastAsia="zh-CN"/>
        </w:rPr>
        <w:t xml:space="preserve"> </w:t>
      </w:r>
    </w:p>
    <w:p w14:paraId="318F9AC4">
      <w:pPr>
        <w:spacing w:line="360" w:lineRule="auto"/>
        <w:ind w:firstLine="420" w:firstLineChars="200"/>
        <w:jc w:val="left"/>
        <w:outlineLvl w:val="2"/>
        <w:rPr>
          <w:rFonts w:hint="eastAsia"/>
          <w:b w:val="0"/>
          <w:bCs/>
          <w:sz w:val="21"/>
          <w:szCs w:val="21"/>
          <w:highlight w:val="none"/>
        </w:rPr>
      </w:pPr>
      <w:bookmarkStart w:id="51" w:name="_Toc32469"/>
      <w:r>
        <w:rPr>
          <w:rFonts w:hint="eastAsia"/>
          <w:b w:val="0"/>
          <w:bCs/>
          <w:sz w:val="21"/>
          <w:szCs w:val="21"/>
          <w:highlight w:val="none"/>
          <w:lang w:val="en-US" w:eastAsia="zh-CN"/>
        </w:rPr>
        <w:t>7．我方愿接受合同条款中规定的合同价款计算和调整方式。</w:t>
      </w:r>
      <w:bookmarkEnd w:id="51"/>
      <w:r>
        <w:rPr>
          <w:rFonts w:hint="eastAsia"/>
          <w:b w:val="0"/>
          <w:bCs/>
          <w:sz w:val="21"/>
          <w:szCs w:val="21"/>
          <w:highlight w:val="none"/>
          <w:lang w:val="en-US" w:eastAsia="zh-CN"/>
        </w:rPr>
        <w:t xml:space="preserve"> </w:t>
      </w:r>
    </w:p>
    <w:p w14:paraId="3EF7425A">
      <w:pPr>
        <w:spacing w:line="360" w:lineRule="auto"/>
        <w:ind w:firstLine="420" w:firstLineChars="200"/>
        <w:jc w:val="left"/>
        <w:outlineLvl w:val="2"/>
        <w:rPr>
          <w:rFonts w:hint="eastAsia"/>
          <w:b w:val="0"/>
          <w:bCs/>
          <w:sz w:val="21"/>
          <w:szCs w:val="21"/>
          <w:highlight w:val="none"/>
        </w:rPr>
      </w:pPr>
      <w:bookmarkStart w:id="52" w:name="_Toc32733"/>
      <w:r>
        <w:rPr>
          <w:rFonts w:hint="eastAsia"/>
          <w:b w:val="0"/>
          <w:bCs/>
          <w:sz w:val="21"/>
          <w:szCs w:val="21"/>
          <w:highlight w:val="none"/>
          <w:lang w:val="en-US" w:eastAsia="zh-CN"/>
        </w:rPr>
        <w:t>8．除非另外达成协议并生效，贵方的成交通知书和本投标文件将成为约束我方的合同文件</w:t>
      </w:r>
      <w:bookmarkEnd w:id="52"/>
      <w:r>
        <w:rPr>
          <w:rFonts w:hint="eastAsia"/>
          <w:b w:val="0"/>
          <w:bCs/>
          <w:sz w:val="21"/>
          <w:szCs w:val="21"/>
          <w:highlight w:val="none"/>
          <w:lang w:val="en-US" w:eastAsia="zh-CN"/>
        </w:rPr>
        <w:t xml:space="preserve"> </w:t>
      </w:r>
    </w:p>
    <w:p w14:paraId="23021AA2">
      <w:pPr>
        <w:spacing w:line="360" w:lineRule="auto"/>
        <w:jc w:val="left"/>
        <w:outlineLvl w:val="2"/>
        <w:rPr>
          <w:rFonts w:hint="eastAsia"/>
          <w:b w:val="0"/>
          <w:bCs/>
          <w:sz w:val="21"/>
          <w:szCs w:val="21"/>
          <w:highlight w:val="none"/>
        </w:rPr>
      </w:pPr>
      <w:bookmarkStart w:id="53" w:name="_Toc21383"/>
      <w:r>
        <w:rPr>
          <w:rFonts w:hint="eastAsia"/>
          <w:b w:val="0"/>
          <w:bCs/>
          <w:sz w:val="21"/>
          <w:szCs w:val="21"/>
          <w:highlight w:val="none"/>
          <w:lang w:val="en-US" w:eastAsia="zh-CN"/>
        </w:rPr>
        <w:t>组成部分。</w:t>
      </w:r>
      <w:bookmarkEnd w:id="53"/>
      <w:r>
        <w:rPr>
          <w:rFonts w:hint="eastAsia"/>
          <w:b w:val="0"/>
          <w:bCs/>
          <w:sz w:val="21"/>
          <w:szCs w:val="21"/>
          <w:highlight w:val="none"/>
          <w:lang w:val="en-US" w:eastAsia="zh-CN"/>
        </w:rPr>
        <w:t xml:space="preserve"> </w:t>
      </w:r>
    </w:p>
    <w:p w14:paraId="35FFD064">
      <w:pPr>
        <w:spacing w:line="360" w:lineRule="auto"/>
        <w:ind w:firstLine="420" w:firstLineChars="200"/>
        <w:jc w:val="left"/>
        <w:outlineLvl w:val="2"/>
        <w:rPr>
          <w:rFonts w:hint="eastAsia"/>
          <w:b w:val="0"/>
          <w:bCs/>
          <w:sz w:val="21"/>
          <w:szCs w:val="21"/>
          <w:highlight w:val="none"/>
        </w:rPr>
      </w:pPr>
      <w:bookmarkStart w:id="54" w:name="_Toc22962"/>
      <w:r>
        <w:rPr>
          <w:rFonts w:hint="eastAsia"/>
          <w:b w:val="0"/>
          <w:bCs/>
          <w:sz w:val="21"/>
          <w:szCs w:val="21"/>
          <w:highlight w:val="none"/>
          <w:lang w:val="en-US" w:eastAsia="zh-CN"/>
        </w:rPr>
        <w:t>9．所有与本次投标有关的函件请发往下列地址：</w:t>
      </w:r>
      <w:bookmarkEnd w:id="54"/>
      <w:r>
        <w:rPr>
          <w:rFonts w:hint="eastAsia"/>
          <w:b w:val="0"/>
          <w:bCs/>
          <w:sz w:val="21"/>
          <w:szCs w:val="21"/>
          <w:highlight w:val="none"/>
          <w:lang w:val="en-US" w:eastAsia="zh-CN"/>
        </w:rPr>
        <w:t xml:space="preserve"> </w:t>
      </w:r>
    </w:p>
    <w:p w14:paraId="537DDCC3">
      <w:pPr>
        <w:spacing w:line="360" w:lineRule="auto"/>
        <w:ind w:firstLine="840" w:firstLineChars="400"/>
        <w:jc w:val="left"/>
        <w:outlineLvl w:val="2"/>
        <w:rPr>
          <w:rFonts w:hint="eastAsia"/>
          <w:b w:val="0"/>
          <w:bCs/>
          <w:sz w:val="21"/>
          <w:szCs w:val="21"/>
          <w:highlight w:val="none"/>
        </w:rPr>
      </w:pPr>
      <w:bookmarkStart w:id="55" w:name="_Toc29546"/>
      <w:r>
        <w:rPr>
          <w:rFonts w:hint="eastAsia"/>
          <w:b w:val="0"/>
          <w:bCs/>
          <w:sz w:val="21"/>
          <w:szCs w:val="21"/>
          <w:highlight w:val="none"/>
          <w:lang w:val="en-US" w:eastAsia="zh-CN"/>
        </w:rPr>
        <w:t>地 址：                      邮政编码：</w:t>
      </w:r>
      <w:bookmarkEnd w:id="55"/>
      <w:r>
        <w:rPr>
          <w:rFonts w:hint="eastAsia"/>
          <w:b w:val="0"/>
          <w:bCs/>
          <w:sz w:val="21"/>
          <w:szCs w:val="21"/>
          <w:highlight w:val="none"/>
          <w:lang w:val="en-US" w:eastAsia="zh-CN"/>
        </w:rPr>
        <w:t xml:space="preserve"> </w:t>
      </w:r>
    </w:p>
    <w:p w14:paraId="15DAD55C">
      <w:pPr>
        <w:spacing w:line="360" w:lineRule="auto"/>
        <w:ind w:firstLine="840" w:firstLineChars="400"/>
        <w:jc w:val="left"/>
        <w:outlineLvl w:val="2"/>
        <w:rPr>
          <w:rFonts w:hint="eastAsia"/>
          <w:b w:val="0"/>
          <w:bCs/>
          <w:sz w:val="21"/>
          <w:szCs w:val="21"/>
          <w:highlight w:val="none"/>
        </w:rPr>
      </w:pPr>
      <w:bookmarkStart w:id="56" w:name="_Toc21130"/>
      <w:r>
        <w:rPr>
          <w:rFonts w:hint="eastAsia"/>
          <w:b w:val="0"/>
          <w:bCs/>
          <w:sz w:val="21"/>
          <w:szCs w:val="21"/>
          <w:highlight w:val="none"/>
          <w:lang w:val="en-US" w:eastAsia="zh-CN"/>
        </w:rPr>
        <w:t>电 话：                       传 真：</w:t>
      </w:r>
      <w:bookmarkEnd w:id="56"/>
      <w:r>
        <w:rPr>
          <w:rFonts w:hint="eastAsia"/>
          <w:b w:val="0"/>
          <w:bCs/>
          <w:sz w:val="21"/>
          <w:szCs w:val="21"/>
          <w:highlight w:val="none"/>
          <w:lang w:val="en-US" w:eastAsia="zh-CN"/>
        </w:rPr>
        <w:t xml:space="preserve"> </w:t>
      </w:r>
    </w:p>
    <w:p w14:paraId="1D693763">
      <w:pPr>
        <w:spacing w:line="360" w:lineRule="auto"/>
        <w:ind w:firstLine="840" w:firstLineChars="400"/>
        <w:jc w:val="left"/>
        <w:outlineLvl w:val="2"/>
        <w:rPr>
          <w:rFonts w:hint="eastAsia"/>
          <w:b w:val="0"/>
          <w:bCs/>
          <w:sz w:val="21"/>
          <w:szCs w:val="21"/>
          <w:highlight w:val="none"/>
        </w:rPr>
      </w:pPr>
      <w:bookmarkStart w:id="57" w:name="_Toc23934"/>
      <w:r>
        <w:rPr>
          <w:rFonts w:hint="eastAsia"/>
          <w:b w:val="0"/>
          <w:bCs/>
          <w:sz w:val="21"/>
          <w:szCs w:val="21"/>
          <w:highlight w:val="none"/>
          <w:lang w:val="en-US" w:eastAsia="zh-CN"/>
        </w:rPr>
        <w:t>代表姓名：                    职务：</w:t>
      </w:r>
      <w:bookmarkEnd w:id="57"/>
      <w:r>
        <w:rPr>
          <w:rFonts w:hint="eastAsia"/>
          <w:b w:val="0"/>
          <w:bCs/>
          <w:sz w:val="21"/>
          <w:szCs w:val="21"/>
          <w:highlight w:val="none"/>
          <w:lang w:val="en-US" w:eastAsia="zh-CN"/>
        </w:rPr>
        <w:t xml:space="preserve"> </w:t>
      </w:r>
    </w:p>
    <w:p w14:paraId="132BD19C">
      <w:pPr>
        <w:spacing w:line="360" w:lineRule="auto"/>
        <w:ind w:firstLine="840" w:firstLineChars="400"/>
        <w:jc w:val="left"/>
        <w:outlineLvl w:val="2"/>
        <w:rPr>
          <w:rFonts w:hint="eastAsia"/>
          <w:b w:val="0"/>
          <w:bCs/>
          <w:sz w:val="21"/>
          <w:szCs w:val="21"/>
          <w:highlight w:val="none"/>
        </w:rPr>
      </w:pPr>
      <w:bookmarkStart w:id="58" w:name="_Toc31769"/>
      <w:r>
        <w:rPr>
          <w:rFonts w:hint="eastAsia"/>
          <w:b w:val="0"/>
          <w:bCs/>
          <w:sz w:val="21"/>
          <w:szCs w:val="21"/>
          <w:highlight w:val="none"/>
          <w:lang w:val="en-US" w:eastAsia="zh-CN"/>
        </w:rPr>
        <w:t>供应商：                    （盖章）</w:t>
      </w:r>
      <w:bookmarkEnd w:id="58"/>
      <w:r>
        <w:rPr>
          <w:rFonts w:hint="eastAsia"/>
          <w:b w:val="0"/>
          <w:bCs/>
          <w:sz w:val="21"/>
          <w:szCs w:val="21"/>
          <w:highlight w:val="none"/>
          <w:lang w:val="en-US" w:eastAsia="zh-CN"/>
        </w:rPr>
        <w:t xml:space="preserve"> </w:t>
      </w:r>
    </w:p>
    <w:p w14:paraId="20A9104A">
      <w:pPr>
        <w:spacing w:line="360" w:lineRule="auto"/>
        <w:ind w:firstLine="840" w:firstLineChars="400"/>
        <w:jc w:val="left"/>
        <w:outlineLvl w:val="2"/>
        <w:rPr>
          <w:rFonts w:hint="eastAsia"/>
          <w:b w:val="0"/>
          <w:bCs/>
          <w:sz w:val="21"/>
          <w:szCs w:val="21"/>
          <w:highlight w:val="none"/>
        </w:rPr>
      </w:pPr>
      <w:bookmarkStart w:id="59" w:name="_Toc30870"/>
      <w:r>
        <w:rPr>
          <w:rFonts w:hint="eastAsia"/>
          <w:b w:val="0"/>
          <w:bCs/>
          <w:sz w:val="21"/>
          <w:szCs w:val="21"/>
          <w:highlight w:val="none"/>
          <w:lang w:val="en-US" w:eastAsia="zh-CN"/>
        </w:rPr>
        <w:t>法定代表人或其委托代理人：       （签字或盖章）</w:t>
      </w:r>
      <w:bookmarkEnd w:id="59"/>
      <w:r>
        <w:rPr>
          <w:rFonts w:hint="eastAsia"/>
          <w:b w:val="0"/>
          <w:bCs/>
          <w:sz w:val="21"/>
          <w:szCs w:val="21"/>
          <w:highlight w:val="none"/>
          <w:lang w:val="en-US" w:eastAsia="zh-CN"/>
        </w:rPr>
        <w:t xml:space="preserve"> </w:t>
      </w:r>
    </w:p>
    <w:p w14:paraId="79CF175D">
      <w:pPr>
        <w:spacing w:line="360" w:lineRule="auto"/>
        <w:ind w:firstLine="840" w:firstLineChars="400"/>
        <w:jc w:val="left"/>
        <w:outlineLvl w:val="2"/>
        <w:rPr>
          <w:rFonts w:hint="eastAsia"/>
          <w:b w:val="0"/>
          <w:bCs/>
          <w:sz w:val="21"/>
          <w:szCs w:val="21"/>
          <w:highlight w:val="none"/>
          <w:lang w:val="en-US" w:eastAsia="zh-CN"/>
        </w:rPr>
      </w:pPr>
      <w:bookmarkStart w:id="60" w:name="_Toc30243"/>
      <w:r>
        <w:rPr>
          <w:rFonts w:hint="eastAsia"/>
          <w:b w:val="0"/>
          <w:bCs/>
          <w:sz w:val="21"/>
          <w:szCs w:val="21"/>
          <w:highlight w:val="none"/>
          <w:lang w:val="en-US" w:eastAsia="zh-CN"/>
        </w:rPr>
        <w:t>日期：</w:t>
      </w:r>
      <w:bookmarkEnd w:id="60"/>
      <w:r>
        <w:rPr>
          <w:rFonts w:hint="eastAsia"/>
          <w:b w:val="0"/>
          <w:bCs/>
          <w:sz w:val="21"/>
          <w:szCs w:val="21"/>
          <w:highlight w:val="none"/>
          <w:lang w:val="en-US" w:eastAsia="zh-CN"/>
        </w:rPr>
        <w:t xml:space="preserve"> </w:t>
      </w:r>
      <w:bookmarkStart w:id="61" w:name="_Toc28829"/>
      <w:r>
        <w:rPr>
          <w:rFonts w:hint="eastAsia"/>
          <w:b w:val="0"/>
          <w:bCs/>
          <w:sz w:val="21"/>
          <w:szCs w:val="21"/>
          <w:highlight w:val="none"/>
          <w:lang w:val="en-US" w:eastAsia="zh-CN"/>
        </w:rPr>
        <w:t>年 月 日</w:t>
      </w:r>
      <w:bookmarkEnd w:id="61"/>
    </w:p>
    <w:p w14:paraId="555C68B5">
      <w:pPr>
        <w:spacing w:line="360" w:lineRule="auto"/>
        <w:ind w:firstLine="1100" w:firstLineChars="500"/>
        <w:jc w:val="left"/>
        <w:outlineLvl w:val="2"/>
        <w:rPr>
          <w:rFonts w:hint="eastAsia"/>
          <w:b w:val="0"/>
          <w:bCs/>
          <w:sz w:val="22"/>
          <w:szCs w:val="22"/>
          <w:highlight w:val="none"/>
          <w:lang w:val="en-US" w:eastAsia="zh-CN"/>
        </w:rPr>
      </w:pPr>
    </w:p>
    <w:p w14:paraId="442F8FEE">
      <w:pPr>
        <w:spacing w:line="360" w:lineRule="auto"/>
        <w:jc w:val="center"/>
        <w:outlineLvl w:val="2"/>
        <w:rPr>
          <w:rFonts w:hint="eastAsia"/>
          <w:b w:val="0"/>
          <w:bCs/>
          <w:sz w:val="21"/>
          <w:szCs w:val="21"/>
          <w:highlight w:val="none"/>
        </w:rPr>
      </w:pPr>
      <w:r>
        <w:rPr>
          <w:rFonts w:hint="eastAsia"/>
          <w:b w:val="0"/>
          <w:bCs/>
          <w:sz w:val="21"/>
          <w:szCs w:val="21"/>
          <w:highlight w:val="none"/>
          <w:lang w:val="en-US" w:eastAsia="zh-CN"/>
        </w:rPr>
        <w:t xml:space="preserve">              </w:t>
      </w:r>
      <w:r>
        <w:rPr>
          <w:rFonts w:hint="eastAsia"/>
          <w:b w:val="0"/>
          <w:bCs/>
          <w:sz w:val="21"/>
          <w:szCs w:val="21"/>
          <w:highlight w:val="none"/>
        </w:rPr>
        <w:t xml:space="preserve">供应商： </w:t>
      </w:r>
      <w:r>
        <w:rPr>
          <w:rFonts w:hint="eastAsia"/>
          <w:b w:val="0"/>
          <w:bCs/>
          <w:sz w:val="21"/>
          <w:szCs w:val="21"/>
          <w:highlight w:val="none"/>
          <w:u w:val="single"/>
          <w:lang w:val="en-US" w:eastAsia="zh-CN"/>
        </w:rPr>
        <w:t xml:space="preserve">              </w:t>
      </w:r>
      <w:r>
        <w:rPr>
          <w:rFonts w:hint="eastAsia"/>
          <w:b w:val="0"/>
          <w:bCs/>
          <w:sz w:val="21"/>
          <w:szCs w:val="21"/>
          <w:highlight w:val="none"/>
          <w:u w:val="single"/>
        </w:rPr>
        <w:tab/>
      </w:r>
      <w:r>
        <w:rPr>
          <w:rFonts w:hint="eastAsia"/>
          <w:b w:val="0"/>
          <w:bCs/>
          <w:sz w:val="21"/>
          <w:szCs w:val="21"/>
          <w:highlight w:val="none"/>
        </w:rPr>
        <w:t>（盖章）</w:t>
      </w:r>
    </w:p>
    <w:p w14:paraId="51889E16">
      <w:pPr>
        <w:keepNext w:val="0"/>
        <w:keepLines w:val="0"/>
        <w:widowControl/>
        <w:suppressLineNumbers w:val="0"/>
        <w:spacing w:line="480" w:lineRule="auto"/>
        <w:ind w:firstLine="3780" w:firstLineChars="1800"/>
        <w:jc w:val="both"/>
        <w:rPr>
          <w:rFonts w:hint="eastAsia" w:ascii="宋体" w:hAnsi="宋体" w:eastAsia="宋体" w:cs="宋体"/>
          <w:b/>
          <w:bCs/>
          <w:color w:val="000000"/>
          <w:kern w:val="0"/>
          <w:sz w:val="30"/>
          <w:szCs w:val="30"/>
          <w:highlight w:val="none"/>
          <w:lang w:val="en-US" w:eastAsia="zh-CN" w:bidi="ar"/>
        </w:rPr>
      </w:pPr>
      <w:r>
        <w:rPr>
          <w:rFonts w:hint="eastAsia"/>
          <w:b w:val="0"/>
          <w:bCs/>
          <w:sz w:val="21"/>
          <w:szCs w:val="21"/>
          <w:highlight w:val="none"/>
          <w:lang w:val="en-US" w:eastAsia="zh-CN"/>
        </w:rPr>
        <w:t xml:space="preserve"> 法定代表人或</w:t>
      </w:r>
      <w:r>
        <w:rPr>
          <w:rFonts w:hint="eastAsia"/>
          <w:b w:val="0"/>
          <w:bCs/>
          <w:sz w:val="21"/>
          <w:szCs w:val="21"/>
          <w:highlight w:val="none"/>
        </w:rPr>
        <w:t>委托代理人：</w:t>
      </w:r>
      <w:r>
        <w:rPr>
          <w:rFonts w:hint="eastAsia"/>
          <w:b w:val="0"/>
          <w:bCs/>
          <w:sz w:val="21"/>
          <w:szCs w:val="21"/>
          <w:highlight w:val="none"/>
          <w:u w:val="single"/>
          <w:lang w:val="en-US" w:eastAsia="zh-CN"/>
        </w:rPr>
        <w:t xml:space="preserve">         </w:t>
      </w:r>
      <w:r>
        <w:rPr>
          <w:rFonts w:hint="eastAsia"/>
          <w:b w:val="0"/>
          <w:bCs/>
          <w:sz w:val="21"/>
          <w:szCs w:val="21"/>
          <w:highlight w:val="none"/>
          <w:u w:val="single"/>
        </w:rPr>
        <w:t xml:space="preserve"> </w:t>
      </w:r>
      <w:r>
        <w:rPr>
          <w:rFonts w:hint="eastAsia"/>
          <w:b w:val="0"/>
          <w:bCs/>
          <w:sz w:val="21"/>
          <w:szCs w:val="21"/>
          <w:highlight w:val="none"/>
          <w:u w:val="single"/>
        </w:rPr>
        <w:tab/>
      </w:r>
      <w:r>
        <w:rPr>
          <w:rFonts w:hint="eastAsia"/>
          <w:b w:val="0"/>
          <w:bCs/>
          <w:sz w:val="21"/>
          <w:szCs w:val="21"/>
          <w:highlight w:val="none"/>
        </w:rPr>
        <w:t>（签字）</w:t>
      </w:r>
    </w:p>
    <w:p w14:paraId="08F6E0BB">
      <w:pPr>
        <w:keepNext w:val="0"/>
        <w:keepLines w:val="0"/>
        <w:widowControl/>
        <w:suppressLineNumbers w:val="0"/>
        <w:spacing w:line="480" w:lineRule="auto"/>
        <w:jc w:val="center"/>
        <w:rPr>
          <w:rFonts w:hint="eastAsia" w:ascii="宋体" w:hAnsi="宋体" w:eastAsia="宋体" w:cs="宋体"/>
          <w:b/>
          <w:bCs/>
          <w:color w:val="000000"/>
          <w:kern w:val="0"/>
          <w:sz w:val="24"/>
          <w:szCs w:val="24"/>
          <w:highlight w:val="none"/>
          <w:lang w:val="en-US" w:eastAsia="zh-CN" w:bidi="ar"/>
        </w:rPr>
      </w:pPr>
    </w:p>
    <w:p w14:paraId="4FE22BBD">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二、投标函附录</w:t>
      </w:r>
    </w:p>
    <w:p w14:paraId="185C6948">
      <w:pPr>
        <w:spacing w:line="360" w:lineRule="auto"/>
        <w:jc w:val="left"/>
        <w:outlineLvl w:val="2"/>
        <w:rPr>
          <w:rFonts w:hint="eastAsia"/>
          <w:b/>
          <w:sz w:val="21"/>
          <w:szCs w:val="21"/>
          <w:highlight w:val="none"/>
        </w:rPr>
      </w:pPr>
      <w:r>
        <w:rPr>
          <w:rFonts w:hint="eastAsia" w:ascii="宋体" w:hAnsi="宋体" w:eastAsia="宋体" w:cs="宋体"/>
          <w:color w:val="000000"/>
          <w:kern w:val="0"/>
          <w:sz w:val="22"/>
          <w:szCs w:val="22"/>
          <w:highlight w:val="none"/>
          <w:lang w:val="en-US" w:eastAsia="zh-CN" w:bidi="ar"/>
        </w:rPr>
        <w:t xml:space="preserve"> </w:t>
      </w:r>
    </w:p>
    <w:tbl>
      <w:tblPr>
        <w:tblStyle w:val="28"/>
        <w:tblpPr w:leftFromText="180" w:rightFromText="180" w:vertAnchor="text" w:horzAnchor="page" w:tblpX="1494" w:tblpY="-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8"/>
        <w:gridCol w:w="7620"/>
      </w:tblGrid>
      <w:tr w14:paraId="42F0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1598" w:type="dxa"/>
            <w:tcBorders>
              <w:left w:val="single" w:color="000000" w:sz="6" w:space="0"/>
            </w:tcBorders>
            <w:noWrap w:val="0"/>
            <w:vAlign w:val="top"/>
          </w:tcPr>
          <w:p w14:paraId="5DBA6378">
            <w:pPr>
              <w:spacing w:line="360" w:lineRule="auto"/>
              <w:jc w:val="center"/>
              <w:outlineLvl w:val="2"/>
              <w:rPr>
                <w:rFonts w:hint="eastAsia"/>
                <w:b w:val="0"/>
                <w:bCs/>
                <w:sz w:val="21"/>
                <w:szCs w:val="21"/>
                <w:highlight w:val="none"/>
              </w:rPr>
            </w:pPr>
          </w:p>
          <w:p w14:paraId="4EBF55D6">
            <w:pPr>
              <w:spacing w:line="360" w:lineRule="auto"/>
              <w:jc w:val="center"/>
              <w:outlineLvl w:val="2"/>
              <w:rPr>
                <w:rFonts w:hint="eastAsia"/>
                <w:b w:val="0"/>
                <w:bCs/>
                <w:sz w:val="21"/>
                <w:szCs w:val="21"/>
                <w:highlight w:val="none"/>
                <w:lang w:eastAsia="zh-CN"/>
              </w:rPr>
            </w:pPr>
            <w:bookmarkStart w:id="62" w:name="_Toc831"/>
            <w:r>
              <w:rPr>
                <w:rFonts w:hint="eastAsia"/>
                <w:b w:val="0"/>
                <w:bCs/>
                <w:sz w:val="21"/>
                <w:szCs w:val="21"/>
                <w:highlight w:val="none"/>
              </w:rPr>
              <w:t>供应商</w:t>
            </w:r>
            <w:r>
              <w:rPr>
                <w:rFonts w:hint="eastAsia"/>
                <w:b w:val="0"/>
                <w:bCs/>
                <w:sz w:val="21"/>
                <w:szCs w:val="21"/>
                <w:highlight w:val="none"/>
                <w:lang w:eastAsia="zh-CN"/>
              </w:rPr>
              <w:t>名称</w:t>
            </w:r>
            <w:bookmarkEnd w:id="62"/>
          </w:p>
        </w:tc>
        <w:tc>
          <w:tcPr>
            <w:tcW w:w="7620" w:type="dxa"/>
            <w:tcBorders>
              <w:right w:val="single" w:color="000000" w:sz="6" w:space="0"/>
            </w:tcBorders>
            <w:noWrap w:val="0"/>
            <w:vAlign w:val="top"/>
          </w:tcPr>
          <w:p w14:paraId="0B33C8EB">
            <w:pPr>
              <w:spacing w:line="360" w:lineRule="auto"/>
              <w:jc w:val="center"/>
              <w:outlineLvl w:val="2"/>
              <w:rPr>
                <w:rFonts w:hint="eastAsia"/>
                <w:b w:val="0"/>
                <w:bCs/>
                <w:sz w:val="21"/>
                <w:szCs w:val="21"/>
                <w:highlight w:val="none"/>
              </w:rPr>
            </w:pPr>
          </w:p>
        </w:tc>
      </w:tr>
      <w:tr w14:paraId="4B259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598" w:type="dxa"/>
            <w:tcBorders>
              <w:left w:val="single" w:color="000000" w:sz="6" w:space="0"/>
            </w:tcBorders>
            <w:noWrap w:val="0"/>
            <w:vAlign w:val="top"/>
          </w:tcPr>
          <w:p w14:paraId="6812DAF9">
            <w:pPr>
              <w:spacing w:line="360" w:lineRule="auto"/>
              <w:jc w:val="center"/>
              <w:outlineLvl w:val="2"/>
              <w:rPr>
                <w:rFonts w:hint="eastAsia"/>
                <w:b w:val="0"/>
                <w:bCs/>
                <w:sz w:val="21"/>
                <w:szCs w:val="21"/>
                <w:highlight w:val="none"/>
              </w:rPr>
            </w:pPr>
          </w:p>
          <w:p w14:paraId="7DCD9173">
            <w:pPr>
              <w:spacing w:line="360" w:lineRule="auto"/>
              <w:jc w:val="center"/>
              <w:outlineLvl w:val="2"/>
              <w:rPr>
                <w:rFonts w:hint="eastAsia"/>
                <w:b w:val="0"/>
                <w:bCs/>
                <w:sz w:val="21"/>
                <w:szCs w:val="21"/>
                <w:highlight w:val="none"/>
              </w:rPr>
            </w:pPr>
            <w:bookmarkStart w:id="63" w:name="_Toc29403"/>
            <w:r>
              <w:rPr>
                <w:rFonts w:hint="eastAsia"/>
                <w:b w:val="0"/>
                <w:bCs/>
                <w:sz w:val="21"/>
                <w:szCs w:val="21"/>
                <w:highlight w:val="none"/>
                <w:lang w:val="en-US" w:eastAsia="zh-CN"/>
              </w:rPr>
              <w:t>投标</w:t>
            </w:r>
            <w:r>
              <w:rPr>
                <w:rFonts w:hint="eastAsia"/>
                <w:b w:val="0"/>
                <w:bCs/>
                <w:sz w:val="21"/>
                <w:szCs w:val="21"/>
                <w:highlight w:val="none"/>
              </w:rPr>
              <w:t>报价</w:t>
            </w:r>
            <w:bookmarkEnd w:id="63"/>
          </w:p>
        </w:tc>
        <w:tc>
          <w:tcPr>
            <w:tcW w:w="7620" w:type="dxa"/>
            <w:tcBorders>
              <w:right w:val="single" w:color="000000" w:sz="6" w:space="0"/>
            </w:tcBorders>
            <w:noWrap w:val="0"/>
            <w:vAlign w:val="top"/>
          </w:tcPr>
          <w:p w14:paraId="3DEEF5D7">
            <w:pPr>
              <w:spacing w:line="360" w:lineRule="auto"/>
              <w:ind w:firstLine="210" w:firstLineChars="100"/>
              <w:jc w:val="both"/>
              <w:outlineLvl w:val="2"/>
              <w:rPr>
                <w:rFonts w:hint="eastAsia"/>
                <w:b w:val="0"/>
                <w:bCs/>
                <w:sz w:val="21"/>
                <w:szCs w:val="21"/>
                <w:highlight w:val="none"/>
              </w:rPr>
            </w:pPr>
            <w:bookmarkStart w:id="64" w:name="_Toc25715"/>
            <w:r>
              <w:rPr>
                <w:rFonts w:hint="eastAsia"/>
                <w:b w:val="0"/>
                <w:bCs/>
                <w:sz w:val="21"/>
                <w:szCs w:val="21"/>
                <w:highlight w:val="none"/>
              </w:rPr>
              <w:t>大写：</w:t>
            </w:r>
            <w:bookmarkEnd w:id="64"/>
          </w:p>
          <w:p w14:paraId="4E54ED6E">
            <w:pPr>
              <w:spacing w:line="360" w:lineRule="auto"/>
              <w:jc w:val="both"/>
              <w:outlineLvl w:val="2"/>
              <w:rPr>
                <w:rFonts w:hint="eastAsia"/>
                <w:b w:val="0"/>
                <w:bCs/>
                <w:sz w:val="21"/>
                <w:szCs w:val="21"/>
                <w:highlight w:val="none"/>
              </w:rPr>
            </w:pPr>
            <w:r>
              <w:rPr>
                <w:rFonts w:hint="eastAsia"/>
                <w:b w:val="0"/>
                <w:bCs/>
                <w:sz w:val="21"/>
                <w:szCs w:val="21"/>
                <w:highlight w:val="none"/>
              </w:rPr>
              <w:t xml:space="preserve"> </w:t>
            </w:r>
            <w:bookmarkStart w:id="65" w:name="_Toc27027"/>
            <w:r>
              <w:rPr>
                <w:rFonts w:hint="eastAsia"/>
                <w:b w:val="0"/>
                <w:bCs/>
                <w:sz w:val="21"/>
                <w:szCs w:val="21"/>
                <w:highlight w:val="none"/>
                <w:lang w:val="en-US" w:eastAsia="zh-CN"/>
              </w:rPr>
              <w:t xml:space="preserve"> </w:t>
            </w:r>
            <w:r>
              <w:rPr>
                <w:rFonts w:hint="eastAsia"/>
                <w:b w:val="0"/>
                <w:bCs/>
                <w:sz w:val="21"/>
                <w:szCs w:val="21"/>
                <w:highlight w:val="none"/>
              </w:rPr>
              <w:t>小写：</w:t>
            </w:r>
            <w:bookmarkEnd w:id="65"/>
          </w:p>
          <w:p w14:paraId="508E9828">
            <w:pPr>
              <w:spacing w:line="360" w:lineRule="auto"/>
              <w:jc w:val="left"/>
              <w:outlineLvl w:val="2"/>
              <w:rPr>
                <w:rFonts w:hint="eastAsia"/>
                <w:b w:val="0"/>
                <w:bCs/>
                <w:sz w:val="21"/>
                <w:szCs w:val="21"/>
                <w:highlight w:val="none"/>
              </w:rPr>
            </w:pPr>
          </w:p>
        </w:tc>
      </w:tr>
      <w:tr w14:paraId="7BBA8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598" w:type="dxa"/>
            <w:tcBorders>
              <w:left w:val="single" w:color="000000" w:sz="6" w:space="0"/>
            </w:tcBorders>
            <w:noWrap w:val="0"/>
            <w:vAlign w:val="top"/>
          </w:tcPr>
          <w:p w14:paraId="64F24CA5">
            <w:pPr>
              <w:spacing w:line="360" w:lineRule="auto"/>
              <w:jc w:val="center"/>
              <w:outlineLvl w:val="2"/>
              <w:rPr>
                <w:rFonts w:hint="default"/>
                <w:b w:val="0"/>
                <w:bCs/>
                <w:sz w:val="21"/>
                <w:szCs w:val="21"/>
                <w:highlight w:val="none"/>
                <w:lang w:val="en-US" w:eastAsia="zh-CN"/>
              </w:rPr>
            </w:pPr>
            <w:r>
              <w:rPr>
                <w:rFonts w:hint="eastAsia"/>
                <w:b w:val="0"/>
                <w:bCs/>
                <w:sz w:val="21"/>
                <w:szCs w:val="21"/>
                <w:highlight w:val="none"/>
                <w:lang w:val="en-US" w:eastAsia="zh-CN"/>
              </w:rPr>
              <w:t>质保期</w:t>
            </w:r>
          </w:p>
        </w:tc>
        <w:tc>
          <w:tcPr>
            <w:tcW w:w="7620" w:type="dxa"/>
            <w:tcBorders>
              <w:right w:val="single" w:color="000000" w:sz="6" w:space="0"/>
            </w:tcBorders>
            <w:noWrap w:val="0"/>
            <w:vAlign w:val="top"/>
          </w:tcPr>
          <w:p w14:paraId="54C1FFD5">
            <w:pPr>
              <w:spacing w:line="360" w:lineRule="auto"/>
              <w:jc w:val="left"/>
              <w:outlineLvl w:val="2"/>
              <w:rPr>
                <w:rFonts w:hint="eastAsia"/>
                <w:b w:val="0"/>
                <w:bCs/>
                <w:sz w:val="21"/>
                <w:szCs w:val="21"/>
                <w:highlight w:val="none"/>
              </w:rPr>
            </w:pPr>
          </w:p>
        </w:tc>
      </w:tr>
      <w:tr w14:paraId="4D0E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1598" w:type="dxa"/>
            <w:tcBorders>
              <w:left w:val="single" w:color="000000" w:sz="6" w:space="0"/>
            </w:tcBorders>
            <w:noWrap w:val="0"/>
            <w:vAlign w:val="top"/>
          </w:tcPr>
          <w:p w14:paraId="2372164C">
            <w:pPr>
              <w:spacing w:line="360" w:lineRule="auto"/>
              <w:jc w:val="center"/>
              <w:outlineLvl w:val="2"/>
              <w:rPr>
                <w:rFonts w:hint="default" w:eastAsia="宋体"/>
                <w:b w:val="0"/>
                <w:bCs/>
                <w:sz w:val="21"/>
                <w:szCs w:val="21"/>
                <w:highlight w:val="none"/>
                <w:lang w:val="en-US" w:eastAsia="zh-CN"/>
              </w:rPr>
            </w:pPr>
            <w:r>
              <w:rPr>
                <w:rFonts w:hint="eastAsia"/>
                <w:b w:val="0"/>
                <w:bCs/>
                <w:sz w:val="21"/>
                <w:szCs w:val="21"/>
                <w:highlight w:val="none"/>
                <w:lang w:val="en-US" w:eastAsia="zh-CN"/>
              </w:rPr>
              <w:t>供货期限</w:t>
            </w:r>
          </w:p>
        </w:tc>
        <w:tc>
          <w:tcPr>
            <w:tcW w:w="7620" w:type="dxa"/>
            <w:tcBorders>
              <w:right w:val="single" w:color="000000" w:sz="6" w:space="0"/>
            </w:tcBorders>
            <w:noWrap w:val="0"/>
            <w:vAlign w:val="top"/>
          </w:tcPr>
          <w:p w14:paraId="36BD2C91">
            <w:pPr>
              <w:spacing w:line="360" w:lineRule="auto"/>
              <w:jc w:val="center"/>
              <w:outlineLvl w:val="2"/>
              <w:rPr>
                <w:rFonts w:hint="eastAsia"/>
                <w:b w:val="0"/>
                <w:bCs/>
                <w:sz w:val="21"/>
                <w:szCs w:val="21"/>
                <w:highlight w:val="none"/>
              </w:rPr>
            </w:pPr>
          </w:p>
        </w:tc>
      </w:tr>
      <w:tr w14:paraId="681E2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598" w:type="dxa"/>
            <w:tcBorders>
              <w:left w:val="single" w:color="000000" w:sz="6" w:space="0"/>
            </w:tcBorders>
            <w:noWrap w:val="0"/>
            <w:vAlign w:val="top"/>
          </w:tcPr>
          <w:p w14:paraId="263F980E">
            <w:pPr>
              <w:spacing w:line="360" w:lineRule="auto"/>
              <w:jc w:val="center"/>
              <w:outlineLvl w:val="2"/>
              <w:rPr>
                <w:rFonts w:hint="eastAsia"/>
                <w:b w:val="0"/>
                <w:bCs/>
                <w:sz w:val="21"/>
                <w:szCs w:val="21"/>
                <w:highlight w:val="none"/>
                <w:lang w:val="en-US" w:eastAsia="zh-CN"/>
              </w:rPr>
            </w:pPr>
            <w:bookmarkStart w:id="66" w:name="_Toc26635"/>
            <w:r>
              <w:rPr>
                <w:rFonts w:hint="eastAsia"/>
                <w:b w:val="0"/>
                <w:bCs/>
                <w:sz w:val="21"/>
                <w:szCs w:val="21"/>
                <w:highlight w:val="none"/>
              </w:rPr>
              <w:t>质量</w:t>
            </w:r>
            <w:r>
              <w:rPr>
                <w:rFonts w:hint="eastAsia"/>
                <w:b w:val="0"/>
                <w:bCs/>
                <w:sz w:val="21"/>
                <w:szCs w:val="21"/>
                <w:highlight w:val="none"/>
                <w:lang w:val="en-US" w:eastAsia="zh-CN"/>
              </w:rPr>
              <w:t>要求</w:t>
            </w:r>
            <w:bookmarkEnd w:id="66"/>
          </w:p>
        </w:tc>
        <w:tc>
          <w:tcPr>
            <w:tcW w:w="7620" w:type="dxa"/>
            <w:tcBorders>
              <w:right w:val="single" w:color="000000" w:sz="6" w:space="0"/>
            </w:tcBorders>
            <w:noWrap w:val="0"/>
            <w:vAlign w:val="top"/>
          </w:tcPr>
          <w:p w14:paraId="79E3A705">
            <w:pPr>
              <w:spacing w:line="360" w:lineRule="auto"/>
              <w:jc w:val="center"/>
              <w:outlineLvl w:val="2"/>
              <w:rPr>
                <w:rFonts w:hint="eastAsia"/>
                <w:b w:val="0"/>
                <w:bCs/>
                <w:sz w:val="21"/>
                <w:szCs w:val="21"/>
                <w:highlight w:val="none"/>
              </w:rPr>
            </w:pPr>
          </w:p>
        </w:tc>
      </w:tr>
      <w:tr w14:paraId="48C2F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598" w:type="dxa"/>
            <w:tcBorders>
              <w:left w:val="single" w:color="000000" w:sz="6" w:space="0"/>
            </w:tcBorders>
            <w:noWrap w:val="0"/>
            <w:vAlign w:val="top"/>
          </w:tcPr>
          <w:p w14:paraId="2FCE1B95">
            <w:pPr>
              <w:spacing w:line="360" w:lineRule="auto"/>
              <w:jc w:val="center"/>
              <w:outlineLvl w:val="2"/>
              <w:rPr>
                <w:rFonts w:hint="eastAsia"/>
                <w:b w:val="0"/>
                <w:bCs/>
                <w:sz w:val="21"/>
                <w:szCs w:val="21"/>
                <w:highlight w:val="none"/>
              </w:rPr>
            </w:pPr>
          </w:p>
          <w:p w14:paraId="5D4F417E">
            <w:pPr>
              <w:spacing w:line="360" w:lineRule="auto"/>
              <w:jc w:val="center"/>
              <w:outlineLvl w:val="2"/>
              <w:rPr>
                <w:rFonts w:hint="eastAsia"/>
                <w:b w:val="0"/>
                <w:bCs/>
                <w:sz w:val="21"/>
                <w:szCs w:val="21"/>
                <w:highlight w:val="none"/>
              </w:rPr>
            </w:pPr>
            <w:bookmarkStart w:id="67" w:name="_Toc22377"/>
            <w:r>
              <w:rPr>
                <w:rFonts w:hint="eastAsia"/>
                <w:b w:val="0"/>
                <w:bCs/>
                <w:sz w:val="21"/>
                <w:szCs w:val="21"/>
                <w:highlight w:val="none"/>
              </w:rPr>
              <w:t>备</w:t>
            </w:r>
            <w:r>
              <w:rPr>
                <w:rFonts w:hint="eastAsia"/>
                <w:b w:val="0"/>
                <w:bCs/>
                <w:sz w:val="21"/>
                <w:szCs w:val="21"/>
                <w:highlight w:val="none"/>
              </w:rPr>
              <w:tab/>
            </w:r>
            <w:r>
              <w:rPr>
                <w:rFonts w:hint="eastAsia"/>
                <w:b w:val="0"/>
                <w:bCs/>
                <w:sz w:val="21"/>
                <w:szCs w:val="21"/>
                <w:highlight w:val="none"/>
              </w:rPr>
              <w:t>注</w:t>
            </w:r>
            <w:bookmarkEnd w:id="67"/>
          </w:p>
        </w:tc>
        <w:tc>
          <w:tcPr>
            <w:tcW w:w="7620" w:type="dxa"/>
            <w:tcBorders>
              <w:right w:val="single" w:color="000000" w:sz="6" w:space="0"/>
            </w:tcBorders>
            <w:noWrap w:val="0"/>
            <w:vAlign w:val="top"/>
          </w:tcPr>
          <w:p w14:paraId="296F7B8F">
            <w:pPr>
              <w:spacing w:line="360" w:lineRule="auto"/>
              <w:jc w:val="center"/>
              <w:outlineLvl w:val="2"/>
              <w:rPr>
                <w:rFonts w:hint="eastAsia"/>
                <w:b w:val="0"/>
                <w:bCs/>
                <w:sz w:val="21"/>
                <w:szCs w:val="21"/>
                <w:highlight w:val="none"/>
              </w:rPr>
            </w:pPr>
          </w:p>
        </w:tc>
      </w:tr>
    </w:tbl>
    <w:p w14:paraId="542E36BE">
      <w:pPr>
        <w:spacing w:line="360" w:lineRule="auto"/>
        <w:jc w:val="both"/>
        <w:outlineLvl w:val="2"/>
        <w:rPr>
          <w:rFonts w:hint="eastAsia"/>
          <w:b w:val="0"/>
          <w:bCs/>
          <w:sz w:val="20"/>
          <w:szCs w:val="20"/>
          <w:highlight w:val="none"/>
        </w:rPr>
      </w:pPr>
    </w:p>
    <w:p w14:paraId="0D80C871">
      <w:pPr>
        <w:spacing w:line="360" w:lineRule="auto"/>
        <w:jc w:val="right"/>
        <w:outlineLvl w:val="2"/>
        <w:rPr>
          <w:rFonts w:hint="eastAsia"/>
          <w:b w:val="0"/>
          <w:bCs/>
          <w:sz w:val="21"/>
          <w:szCs w:val="21"/>
          <w:highlight w:val="none"/>
        </w:rPr>
      </w:pPr>
      <w:bookmarkStart w:id="68" w:name="_Toc31303"/>
      <w:r>
        <w:rPr>
          <w:rFonts w:hint="eastAsia"/>
          <w:b w:val="0"/>
          <w:bCs/>
          <w:sz w:val="21"/>
          <w:szCs w:val="21"/>
          <w:highlight w:val="none"/>
        </w:rPr>
        <w:t xml:space="preserve">供应商： </w:t>
      </w:r>
      <w:r>
        <w:rPr>
          <w:rFonts w:hint="eastAsia"/>
          <w:b w:val="0"/>
          <w:bCs/>
          <w:sz w:val="21"/>
          <w:szCs w:val="21"/>
          <w:highlight w:val="none"/>
          <w:u w:val="single"/>
          <w:lang w:val="en-US" w:eastAsia="zh-CN"/>
        </w:rPr>
        <w:t xml:space="preserve">              </w:t>
      </w:r>
      <w:r>
        <w:rPr>
          <w:rFonts w:hint="eastAsia"/>
          <w:b w:val="0"/>
          <w:bCs/>
          <w:sz w:val="21"/>
          <w:szCs w:val="21"/>
          <w:highlight w:val="none"/>
          <w:u w:val="single"/>
        </w:rPr>
        <w:tab/>
      </w:r>
      <w:r>
        <w:rPr>
          <w:rFonts w:hint="eastAsia"/>
          <w:b w:val="0"/>
          <w:bCs/>
          <w:sz w:val="21"/>
          <w:szCs w:val="21"/>
          <w:highlight w:val="none"/>
        </w:rPr>
        <w:t>（盖单位章）</w:t>
      </w:r>
      <w:bookmarkEnd w:id="68"/>
    </w:p>
    <w:p w14:paraId="21AB34B5">
      <w:pPr>
        <w:spacing w:line="360" w:lineRule="auto"/>
        <w:jc w:val="center"/>
        <w:outlineLvl w:val="2"/>
        <w:rPr>
          <w:rFonts w:hint="eastAsia"/>
          <w:b w:val="0"/>
          <w:bCs/>
          <w:sz w:val="21"/>
          <w:szCs w:val="21"/>
          <w:highlight w:val="none"/>
        </w:rPr>
      </w:pPr>
      <w:bookmarkStart w:id="69" w:name="_Toc1881"/>
      <w:r>
        <w:rPr>
          <w:rFonts w:hint="eastAsia"/>
          <w:b w:val="0"/>
          <w:bCs/>
          <w:sz w:val="21"/>
          <w:szCs w:val="21"/>
          <w:highlight w:val="none"/>
          <w:lang w:val="en-US" w:eastAsia="zh-CN"/>
        </w:rPr>
        <w:t xml:space="preserve">                                                 法定代表人或</w:t>
      </w:r>
      <w:r>
        <w:rPr>
          <w:rFonts w:hint="eastAsia"/>
          <w:b w:val="0"/>
          <w:bCs/>
          <w:sz w:val="21"/>
          <w:szCs w:val="21"/>
          <w:highlight w:val="none"/>
        </w:rPr>
        <w:t>委托代理人：</w:t>
      </w:r>
      <w:r>
        <w:rPr>
          <w:rFonts w:hint="eastAsia"/>
          <w:b w:val="0"/>
          <w:bCs/>
          <w:sz w:val="21"/>
          <w:szCs w:val="21"/>
          <w:highlight w:val="none"/>
          <w:u w:val="single"/>
          <w:lang w:val="en-US" w:eastAsia="zh-CN"/>
        </w:rPr>
        <w:t xml:space="preserve">         </w:t>
      </w:r>
      <w:r>
        <w:rPr>
          <w:rFonts w:hint="eastAsia"/>
          <w:b w:val="0"/>
          <w:bCs/>
          <w:sz w:val="21"/>
          <w:szCs w:val="21"/>
          <w:highlight w:val="none"/>
          <w:u w:val="single"/>
        </w:rPr>
        <w:t xml:space="preserve"> </w:t>
      </w:r>
      <w:r>
        <w:rPr>
          <w:rFonts w:hint="eastAsia"/>
          <w:b w:val="0"/>
          <w:bCs/>
          <w:sz w:val="21"/>
          <w:szCs w:val="21"/>
          <w:highlight w:val="none"/>
          <w:u w:val="single"/>
        </w:rPr>
        <w:tab/>
      </w:r>
      <w:r>
        <w:rPr>
          <w:rFonts w:hint="eastAsia"/>
          <w:b w:val="0"/>
          <w:bCs/>
          <w:sz w:val="21"/>
          <w:szCs w:val="21"/>
          <w:highlight w:val="none"/>
        </w:rPr>
        <w:t>（签字）</w:t>
      </w:r>
      <w:bookmarkEnd w:id="69"/>
    </w:p>
    <w:p w14:paraId="7F3FDE08">
      <w:pPr>
        <w:spacing w:line="360" w:lineRule="auto"/>
        <w:jc w:val="right"/>
        <w:outlineLvl w:val="2"/>
        <w:rPr>
          <w:rFonts w:hint="eastAsia"/>
          <w:b w:val="0"/>
          <w:bCs/>
          <w:sz w:val="21"/>
          <w:szCs w:val="21"/>
          <w:highlight w:val="none"/>
        </w:rPr>
      </w:pPr>
      <w:r>
        <w:rPr>
          <w:rFonts w:hint="eastAsia"/>
          <w:b w:val="0"/>
          <w:bCs/>
          <w:sz w:val="21"/>
          <w:szCs w:val="21"/>
          <w:highlight w:val="none"/>
        </w:rPr>
        <w:t xml:space="preserve"> </w:t>
      </w:r>
      <w:bookmarkStart w:id="70" w:name="_Toc18067"/>
      <w:r>
        <w:rPr>
          <w:rFonts w:hint="eastAsia"/>
          <w:b w:val="0"/>
          <w:bCs/>
          <w:sz w:val="21"/>
          <w:szCs w:val="21"/>
          <w:highlight w:val="none"/>
          <w:lang w:val="en-US" w:eastAsia="zh-CN"/>
        </w:rPr>
        <w:t>日期：</w:t>
      </w:r>
      <w:r>
        <w:rPr>
          <w:rFonts w:hint="eastAsia"/>
          <w:b w:val="0"/>
          <w:bCs/>
          <w:sz w:val="21"/>
          <w:szCs w:val="21"/>
          <w:highlight w:val="none"/>
        </w:rPr>
        <w:t xml:space="preserve">年 </w:t>
      </w:r>
      <w:r>
        <w:rPr>
          <w:rFonts w:hint="eastAsia"/>
          <w:b w:val="0"/>
          <w:bCs/>
          <w:sz w:val="21"/>
          <w:szCs w:val="21"/>
          <w:highlight w:val="none"/>
          <w:lang w:val="en-US" w:eastAsia="zh-CN"/>
        </w:rPr>
        <w:t xml:space="preserve"> </w:t>
      </w:r>
      <w:r>
        <w:rPr>
          <w:rFonts w:hint="eastAsia"/>
          <w:b w:val="0"/>
          <w:bCs/>
          <w:sz w:val="21"/>
          <w:szCs w:val="21"/>
          <w:highlight w:val="none"/>
        </w:rPr>
        <w:tab/>
      </w:r>
      <w:r>
        <w:rPr>
          <w:rFonts w:hint="eastAsia"/>
          <w:b w:val="0"/>
          <w:bCs/>
          <w:sz w:val="21"/>
          <w:szCs w:val="21"/>
          <w:highlight w:val="none"/>
        </w:rPr>
        <w:t xml:space="preserve">月 </w:t>
      </w:r>
      <w:r>
        <w:rPr>
          <w:rFonts w:hint="eastAsia"/>
          <w:b w:val="0"/>
          <w:bCs/>
          <w:sz w:val="21"/>
          <w:szCs w:val="21"/>
          <w:highlight w:val="none"/>
        </w:rPr>
        <w:tab/>
      </w:r>
      <w:r>
        <w:rPr>
          <w:rFonts w:hint="eastAsia"/>
          <w:b w:val="0"/>
          <w:bCs/>
          <w:sz w:val="21"/>
          <w:szCs w:val="21"/>
          <w:highlight w:val="none"/>
          <w:lang w:val="en-US" w:eastAsia="zh-CN"/>
        </w:rPr>
        <w:t xml:space="preserve"> </w:t>
      </w:r>
      <w:r>
        <w:rPr>
          <w:rFonts w:hint="eastAsia"/>
          <w:b w:val="0"/>
          <w:bCs/>
          <w:sz w:val="21"/>
          <w:szCs w:val="21"/>
          <w:highlight w:val="none"/>
        </w:rPr>
        <w:t>日</w:t>
      </w:r>
      <w:bookmarkEnd w:id="70"/>
    </w:p>
    <w:p w14:paraId="20B2CF38">
      <w:pPr>
        <w:spacing w:line="360" w:lineRule="auto"/>
        <w:jc w:val="center"/>
        <w:outlineLvl w:val="2"/>
        <w:rPr>
          <w:rFonts w:hint="eastAsia"/>
          <w:b w:val="0"/>
          <w:bCs/>
          <w:sz w:val="21"/>
          <w:szCs w:val="21"/>
          <w:highlight w:val="none"/>
        </w:rPr>
      </w:pPr>
    </w:p>
    <w:p w14:paraId="52E7546F">
      <w:pPr>
        <w:spacing w:line="360" w:lineRule="auto"/>
        <w:jc w:val="center"/>
        <w:outlineLvl w:val="2"/>
        <w:rPr>
          <w:rFonts w:hint="eastAsia"/>
          <w:b/>
          <w:sz w:val="21"/>
          <w:szCs w:val="21"/>
          <w:highlight w:val="none"/>
        </w:rPr>
      </w:pPr>
    </w:p>
    <w:p w14:paraId="176BF32D">
      <w:pPr>
        <w:spacing w:line="360" w:lineRule="auto"/>
        <w:jc w:val="center"/>
        <w:outlineLvl w:val="2"/>
        <w:rPr>
          <w:rFonts w:hint="eastAsia"/>
          <w:b/>
          <w:sz w:val="24"/>
          <w:highlight w:val="none"/>
        </w:rPr>
      </w:pPr>
    </w:p>
    <w:p w14:paraId="4C4A79CD">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3B7BEF3C">
      <w:pP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br w:type="page"/>
      </w:r>
    </w:p>
    <w:p w14:paraId="249EE0BA">
      <w:pPr>
        <w:keepNext w:val="0"/>
        <w:keepLines w:val="0"/>
        <w:widowControl/>
        <w:suppressLineNumbers w:val="0"/>
        <w:jc w:val="center"/>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三、</w:t>
      </w:r>
      <w:r>
        <w:rPr>
          <w:rFonts w:hint="eastAsia" w:ascii="宋体" w:hAnsi="宋体" w:cs="宋体"/>
          <w:b/>
          <w:bCs/>
          <w:color w:val="000000"/>
          <w:kern w:val="0"/>
          <w:sz w:val="24"/>
          <w:szCs w:val="24"/>
          <w:highlight w:val="none"/>
          <w:lang w:val="en-US" w:eastAsia="zh-CN" w:bidi="ar"/>
        </w:rPr>
        <w:t>法定代表人</w:t>
      </w:r>
      <w:r>
        <w:rPr>
          <w:rFonts w:hint="eastAsia" w:ascii="宋体" w:hAnsi="宋体" w:eastAsia="宋体" w:cs="宋体"/>
          <w:b/>
          <w:bCs/>
          <w:color w:val="000000"/>
          <w:kern w:val="0"/>
          <w:sz w:val="24"/>
          <w:szCs w:val="24"/>
          <w:highlight w:val="none"/>
          <w:lang w:val="en-US" w:eastAsia="zh-CN" w:bidi="ar"/>
        </w:rPr>
        <w:t>身份证明</w:t>
      </w:r>
      <w:r>
        <w:rPr>
          <w:rFonts w:hint="eastAsia" w:ascii="宋体" w:hAnsi="宋体" w:cs="宋体"/>
          <w:b/>
          <w:bCs/>
          <w:color w:val="000000"/>
          <w:kern w:val="0"/>
          <w:sz w:val="24"/>
          <w:szCs w:val="24"/>
          <w:highlight w:val="none"/>
          <w:lang w:val="en-US" w:eastAsia="zh-CN" w:bidi="ar"/>
        </w:rPr>
        <w:t xml:space="preserve"> </w:t>
      </w:r>
    </w:p>
    <w:p w14:paraId="53AD44F4">
      <w:pPr>
        <w:spacing w:line="480" w:lineRule="auto"/>
        <w:ind w:firstLine="420" w:firstLineChars="200"/>
        <w:rPr>
          <w:rFonts w:hint="eastAsia" w:ascii="宋体" w:hAnsi="宋体"/>
          <w:color w:val="000000"/>
          <w:sz w:val="21"/>
          <w:szCs w:val="21"/>
          <w:highlight w:val="none"/>
          <w:lang w:val="en-US" w:eastAsia="zh-CN"/>
        </w:rPr>
      </w:pPr>
    </w:p>
    <w:p w14:paraId="3CCC24F3">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供应商</w:t>
      </w:r>
      <w:r>
        <w:rPr>
          <w:rFonts w:hint="eastAsia" w:ascii="宋体" w:hAnsi="宋体"/>
          <w:color w:val="000000"/>
          <w:sz w:val="21"/>
          <w:szCs w:val="21"/>
          <w:highlight w:val="none"/>
        </w:rPr>
        <w:t>名称：</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 xml:space="preserve"> </w:t>
      </w:r>
    </w:p>
    <w:p w14:paraId="27DD6759">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单位性质：</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 xml:space="preserve"> </w:t>
      </w:r>
    </w:p>
    <w:p w14:paraId="1F05E66D">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地址：</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 xml:space="preserve"> </w:t>
      </w:r>
    </w:p>
    <w:p w14:paraId="4C69F3FC">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成立时间：</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年</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月</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日</w:t>
      </w:r>
    </w:p>
    <w:p w14:paraId="12BEECB8">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姓名：</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性别：</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年龄：</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职务：</w:t>
      </w:r>
      <w:r>
        <w:rPr>
          <w:rFonts w:hint="eastAsia" w:ascii="宋体" w:hAnsi="宋体"/>
          <w:color w:val="000000"/>
          <w:sz w:val="21"/>
          <w:szCs w:val="21"/>
          <w:highlight w:val="none"/>
          <w:u w:val="single"/>
        </w:rPr>
        <w:t xml:space="preserve">       </w:t>
      </w:r>
    </w:p>
    <w:p w14:paraId="4653306F">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系</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w:t>
      </w:r>
      <w:r>
        <w:rPr>
          <w:rFonts w:hint="eastAsia" w:ascii="宋体" w:hAnsi="宋体"/>
          <w:color w:val="000000"/>
          <w:sz w:val="21"/>
          <w:szCs w:val="21"/>
          <w:highlight w:val="none"/>
          <w:lang w:eastAsia="zh-CN"/>
        </w:rPr>
        <w:t>供应商</w:t>
      </w:r>
      <w:r>
        <w:rPr>
          <w:rFonts w:hint="eastAsia" w:ascii="宋体" w:hAnsi="宋体"/>
          <w:color w:val="000000"/>
          <w:sz w:val="21"/>
          <w:szCs w:val="21"/>
          <w:highlight w:val="none"/>
        </w:rPr>
        <w:t>名称）的</w:t>
      </w:r>
      <w:r>
        <w:rPr>
          <w:rFonts w:hint="eastAsia" w:ascii="宋体" w:hAnsi="宋体"/>
          <w:color w:val="000000"/>
          <w:sz w:val="21"/>
          <w:szCs w:val="21"/>
          <w:highlight w:val="none"/>
          <w:lang w:eastAsia="zh-CN"/>
        </w:rPr>
        <w:t>法定代表人</w:t>
      </w:r>
      <w:r>
        <w:rPr>
          <w:rFonts w:hint="eastAsia" w:ascii="宋体" w:hAnsi="宋体"/>
          <w:color w:val="000000"/>
          <w:sz w:val="21"/>
          <w:szCs w:val="21"/>
          <w:highlight w:val="none"/>
        </w:rPr>
        <w:t>。</w:t>
      </w:r>
    </w:p>
    <w:p w14:paraId="275016AF">
      <w:pPr>
        <w:spacing w:line="480" w:lineRule="auto"/>
        <w:ind w:firstLine="840" w:firstLineChars="400"/>
        <w:rPr>
          <w:rFonts w:ascii="宋体" w:hAnsi="宋体"/>
          <w:color w:val="000000"/>
          <w:sz w:val="21"/>
          <w:szCs w:val="21"/>
          <w:highlight w:val="none"/>
        </w:rPr>
      </w:pPr>
      <w:r>
        <w:rPr>
          <w:rFonts w:hint="eastAsia" w:ascii="宋体" w:hAnsi="宋体"/>
          <w:color w:val="000000"/>
          <w:sz w:val="21"/>
          <w:szCs w:val="21"/>
          <w:highlight w:val="none"/>
        </w:rPr>
        <w:t>特此证明。</w:t>
      </w:r>
    </w:p>
    <w:p w14:paraId="694F5B3D">
      <w:pPr>
        <w:spacing w:line="480" w:lineRule="auto"/>
        <w:ind w:firstLine="420" w:firstLineChars="200"/>
        <w:rPr>
          <w:rFonts w:hint="eastAsia" w:ascii="宋体" w:hAnsi="宋体" w:eastAsia="宋体"/>
          <w:color w:val="000000"/>
          <w:sz w:val="21"/>
          <w:szCs w:val="21"/>
          <w:highlight w:val="none"/>
          <w:lang w:val="en-US" w:eastAsia="zh-CN"/>
        </w:rPr>
      </w:pPr>
      <w:r>
        <w:rPr>
          <w:rFonts w:hint="eastAsia" w:ascii="宋体" w:hAnsi="宋体"/>
          <w:color w:val="000000"/>
          <w:sz w:val="21"/>
          <w:szCs w:val="21"/>
          <w:highlight w:val="none"/>
        </w:rPr>
        <w:t>附：</w:t>
      </w:r>
      <w:r>
        <w:rPr>
          <w:rFonts w:hint="eastAsia" w:ascii="宋体" w:hAnsi="宋体"/>
          <w:color w:val="000000"/>
          <w:sz w:val="21"/>
          <w:szCs w:val="21"/>
          <w:highlight w:val="none"/>
          <w:lang w:eastAsia="zh-CN"/>
        </w:rPr>
        <w:t>法定代表人</w:t>
      </w:r>
      <w:r>
        <w:rPr>
          <w:rFonts w:hint="eastAsia" w:ascii="宋体" w:hAnsi="宋体"/>
          <w:color w:val="000000"/>
          <w:sz w:val="21"/>
          <w:szCs w:val="21"/>
          <w:highlight w:val="none"/>
        </w:rPr>
        <w:t>身份证（正、反两面）</w:t>
      </w:r>
      <w:r>
        <w:rPr>
          <w:rFonts w:hint="eastAsia" w:ascii="宋体" w:hAnsi="宋体"/>
          <w:color w:val="000000"/>
          <w:sz w:val="21"/>
          <w:szCs w:val="21"/>
          <w:highlight w:val="none"/>
          <w:lang w:val="en-US" w:eastAsia="zh-CN"/>
        </w:rPr>
        <w:t>复印件</w:t>
      </w:r>
    </w:p>
    <w:p w14:paraId="69A58518">
      <w:pPr>
        <w:spacing w:line="480" w:lineRule="auto"/>
        <w:ind w:firstLine="420" w:firstLineChars="200"/>
        <w:rPr>
          <w:rFonts w:hint="eastAsia" w:ascii="宋体" w:hAnsi="宋体"/>
          <w:color w:val="000000"/>
          <w:sz w:val="21"/>
          <w:szCs w:val="21"/>
          <w:highlight w:val="none"/>
        </w:rPr>
      </w:pPr>
    </w:p>
    <w:p w14:paraId="337D252E">
      <w:pPr>
        <w:pStyle w:val="26"/>
        <w:ind w:firstLine="482"/>
        <w:rPr>
          <w:color w:val="000000"/>
          <w:sz w:val="44"/>
          <w:szCs w:val="20"/>
          <w:highlight w:val="none"/>
        </w:rPr>
      </w:pPr>
    </w:p>
    <w:p w14:paraId="7A416DD8">
      <w:pPr>
        <w:keepNext w:val="0"/>
        <w:keepLines w:val="0"/>
        <w:widowControl/>
        <w:suppressLineNumbers w:val="0"/>
        <w:spacing w:line="480" w:lineRule="auto"/>
        <w:jc w:val="left"/>
        <w:rPr>
          <w:rFonts w:hint="eastAsia" w:ascii="宋体" w:hAnsi="宋体" w:eastAsia="宋体" w:cs="宋体"/>
          <w:color w:val="000000"/>
          <w:kern w:val="0"/>
          <w:sz w:val="24"/>
          <w:szCs w:val="24"/>
          <w:highlight w:val="none"/>
          <w:lang w:val="en-US" w:eastAsia="zh-CN" w:bidi="ar"/>
        </w:rPr>
      </w:pPr>
    </w:p>
    <w:p w14:paraId="53C37365">
      <w:pPr>
        <w:spacing w:line="360" w:lineRule="auto"/>
        <w:ind w:firstLine="4000" w:firstLineChars="2000"/>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供应商</w:t>
      </w:r>
      <w:r>
        <w:rPr>
          <w:rFonts w:hint="eastAsia" w:ascii="宋体" w:hAnsi="宋体"/>
          <w:color w:val="000000"/>
          <w:sz w:val="20"/>
          <w:szCs w:val="20"/>
          <w:highlight w:val="none"/>
        </w:rPr>
        <w:t>：</w:t>
      </w:r>
      <w:r>
        <w:rPr>
          <w:rFonts w:hint="eastAsia" w:ascii="宋体" w:hAnsi="宋体"/>
          <w:color w:val="000000"/>
          <w:sz w:val="20"/>
          <w:szCs w:val="20"/>
          <w:highlight w:val="none"/>
          <w:u w:val="single"/>
        </w:rPr>
        <w:t xml:space="preserve">                      </w:t>
      </w:r>
      <w:r>
        <w:rPr>
          <w:rFonts w:hint="eastAsia" w:ascii="宋体" w:hAnsi="宋体"/>
          <w:color w:val="000000"/>
          <w:sz w:val="20"/>
          <w:szCs w:val="20"/>
          <w:highlight w:val="none"/>
        </w:rPr>
        <w:t>（盖章）</w:t>
      </w:r>
    </w:p>
    <w:p w14:paraId="4C249719">
      <w:pPr>
        <w:spacing w:line="360" w:lineRule="auto"/>
        <w:ind w:firstLine="4300" w:firstLineChars="2150"/>
        <w:rPr>
          <w:rFonts w:hint="eastAsia" w:ascii="宋体" w:hAnsi="宋体"/>
          <w:color w:val="000000"/>
          <w:sz w:val="20"/>
          <w:szCs w:val="20"/>
          <w:highlight w:val="none"/>
          <w:u w:val="single"/>
        </w:rPr>
      </w:pPr>
    </w:p>
    <w:p w14:paraId="2A138077">
      <w:pPr>
        <w:spacing w:line="360" w:lineRule="auto"/>
        <w:ind w:firstLine="4300" w:firstLineChars="2150"/>
        <w:jc w:val="center"/>
        <w:rPr>
          <w:rFonts w:hint="eastAsia" w:ascii="宋体" w:hAnsi="宋体" w:eastAsia="宋体"/>
          <w:color w:val="000000"/>
          <w:sz w:val="20"/>
          <w:szCs w:val="20"/>
          <w:highlight w:val="none"/>
          <w:u w:val="none"/>
          <w:lang w:val="en-US" w:eastAsia="zh-CN"/>
        </w:rPr>
        <w:sectPr>
          <w:headerReference r:id="rId11" w:type="default"/>
          <w:footerReference r:id="rId12" w:type="default"/>
          <w:pgSz w:w="11906" w:h="16838"/>
          <w:pgMar w:top="1418" w:right="1134" w:bottom="1418" w:left="1134" w:header="851" w:footer="992" w:gutter="0"/>
          <w:pgNumType w:fmt="decimal"/>
          <w:cols w:space="720" w:num="1"/>
          <w:docGrid w:type="lines" w:linePitch="312" w:charSpace="0"/>
        </w:sectPr>
      </w:pPr>
      <w:r>
        <w:rPr>
          <w:rFonts w:hint="eastAsia" w:ascii="宋体" w:hAnsi="宋体"/>
          <w:color w:val="000000"/>
          <w:sz w:val="20"/>
          <w:szCs w:val="20"/>
          <w:highlight w:val="none"/>
        </w:rPr>
        <w:t>年</w:t>
      </w:r>
      <w:r>
        <w:rPr>
          <w:rFonts w:hint="eastAsia" w:ascii="宋体" w:hAnsi="宋体"/>
          <w:color w:val="000000"/>
          <w:sz w:val="20"/>
          <w:szCs w:val="20"/>
          <w:highlight w:val="none"/>
          <w:u w:val="single"/>
        </w:rPr>
        <w:t xml:space="preserve">    </w:t>
      </w:r>
      <w:r>
        <w:rPr>
          <w:rFonts w:hint="eastAsia" w:ascii="宋体" w:hAnsi="宋体"/>
          <w:color w:val="000000"/>
          <w:sz w:val="20"/>
          <w:szCs w:val="20"/>
          <w:highlight w:val="none"/>
        </w:rPr>
        <w:t>月</w:t>
      </w:r>
      <w:r>
        <w:rPr>
          <w:rFonts w:hint="eastAsia" w:ascii="宋体" w:hAnsi="宋体"/>
          <w:color w:val="000000"/>
          <w:sz w:val="20"/>
          <w:szCs w:val="20"/>
          <w:highlight w:val="none"/>
          <w:u w:val="single"/>
        </w:rPr>
        <w:t xml:space="preserve">    </w:t>
      </w:r>
      <w:r>
        <w:rPr>
          <w:rFonts w:hint="eastAsia" w:ascii="宋体" w:hAnsi="宋体"/>
          <w:color w:val="000000"/>
          <w:sz w:val="20"/>
          <w:szCs w:val="20"/>
          <w:highlight w:val="none"/>
          <w:u w:val="none"/>
        </w:rPr>
        <w:t xml:space="preserve"> </w:t>
      </w:r>
      <w:r>
        <w:rPr>
          <w:rFonts w:hint="eastAsia" w:ascii="宋体" w:hAnsi="宋体"/>
          <w:color w:val="000000"/>
          <w:sz w:val="20"/>
          <w:szCs w:val="20"/>
          <w:highlight w:val="none"/>
          <w:u w:val="none"/>
          <w:lang w:val="en-US" w:eastAsia="zh-CN"/>
        </w:rPr>
        <w:t>日</w:t>
      </w:r>
    </w:p>
    <w:p w14:paraId="2FB96BD0">
      <w:pPr>
        <w:spacing w:line="360" w:lineRule="auto"/>
        <w:jc w:val="both"/>
        <w:outlineLvl w:val="2"/>
        <w:rPr>
          <w:rFonts w:hint="eastAsia" w:ascii="宋体" w:hAnsi="宋体" w:eastAsia="宋体" w:cs="宋体"/>
          <w:color w:val="000000"/>
          <w:kern w:val="0"/>
          <w:sz w:val="28"/>
          <w:szCs w:val="28"/>
          <w:highlight w:val="none"/>
          <w:lang w:val="en-US" w:eastAsia="zh-CN" w:bidi="ar"/>
        </w:rPr>
      </w:pPr>
    </w:p>
    <w:p w14:paraId="5E581E27">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四、授权委托书</w:t>
      </w:r>
    </w:p>
    <w:p w14:paraId="35B1D239">
      <w:pPr>
        <w:spacing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 xml:space="preserve"> </w:t>
      </w:r>
    </w:p>
    <w:p w14:paraId="16CB27DD">
      <w:pPr>
        <w:spacing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 xml:space="preserve"> 本人</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（姓名）系</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供应商</w:t>
      </w:r>
      <w:r>
        <w:rPr>
          <w:rFonts w:hint="eastAsia" w:ascii="宋体" w:hAnsi="宋体"/>
          <w:color w:val="000000"/>
          <w:sz w:val="21"/>
          <w:szCs w:val="21"/>
          <w:highlight w:val="none"/>
        </w:rPr>
        <w:t>名称）的</w:t>
      </w:r>
      <w:r>
        <w:rPr>
          <w:rFonts w:hint="eastAsia" w:ascii="宋体" w:hAnsi="宋体"/>
          <w:color w:val="000000"/>
          <w:sz w:val="21"/>
          <w:szCs w:val="21"/>
          <w:highlight w:val="none"/>
          <w:lang w:eastAsia="zh-CN"/>
        </w:rPr>
        <w:t>法定代表人</w:t>
      </w:r>
      <w:r>
        <w:rPr>
          <w:rFonts w:hint="eastAsia" w:ascii="宋体" w:hAnsi="宋体"/>
          <w:color w:val="000000"/>
          <w:sz w:val="21"/>
          <w:szCs w:val="21"/>
          <w:highlight w:val="none"/>
        </w:rPr>
        <w:t>，现委托</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u w:val="single"/>
          <w:lang w:val="en-US" w:eastAsia="zh-CN"/>
        </w:rPr>
        <w:t xml:space="preserve">      </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（姓名）为我方代理人。代理人根据授权，以我方名义签署、澄清、说明、补正、递交、撤回、修改</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项目</w:t>
      </w:r>
      <w:r>
        <w:rPr>
          <w:rFonts w:hint="eastAsia" w:ascii="宋体" w:hAnsi="宋体"/>
          <w:color w:val="000000"/>
          <w:sz w:val="21"/>
          <w:szCs w:val="21"/>
          <w:highlight w:val="none"/>
        </w:rPr>
        <w:t>名称）</w:t>
      </w:r>
      <w:r>
        <w:rPr>
          <w:rFonts w:hint="eastAsia" w:ascii="宋体" w:hAnsi="宋体"/>
          <w:color w:val="000000"/>
          <w:sz w:val="21"/>
          <w:szCs w:val="21"/>
          <w:highlight w:val="none"/>
          <w:u w:val="none"/>
          <w:lang w:eastAsia="zh-CN"/>
        </w:rPr>
        <w:t>投标文件</w:t>
      </w:r>
      <w:r>
        <w:rPr>
          <w:rFonts w:hint="eastAsia" w:ascii="宋体" w:hAnsi="宋体"/>
          <w:color w:val="000000"/>
          <w:sz w:val="21"/>
          <w:szCs w:val="21"/>
          <w:highlight w:val="none"/>
        </w:rPr>
        <w:t>、签订合同和处理有关事宜，其法律后果由我方承担。</w:t>
      </w:r>
    </w:p>
    <w:p w14:paraId="335BCB6F">
      <w:pPr>
        <w:spacing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代理人无转委托权。</w:t>
      </w:r>
    </w:p>
    <w:p w14:paraId="17727FBC">
      <w:pPr>
        <w:keepNext w:val="0"/>
        <w:keepLines w:val="0"/>
        <w:widowControl/>
        <w:suppressLineNumbers w:val="0"/>
        <w:spacing w:line="480" w:lineRule="auto"/>
        <w:jc w:val="left"/>
        <w:rPr>
          <w:rFonts w:hint="eastAsia" w:ascii="宋体" w:hAnsi="宋体" w:eastAsia="宋体" w:cs="宋体"/>
          <w:color w:val="000000"/>
          <w:kern w:val="0"/>
          <w:sz w:val="28"/>
          <w:szCs w:val="28"/>
          <w:highlight w:val="none"/>
          <w:lang w:val="en-US" w:eastAsia="zh-CN" w:bidi="ar"/>
        </w:rPr>
      </w:pPr>
      <w:bookmarkStart w:id="71" w:name="OLE_LINK10"/>
      <w:r>
        <w:rPr>
          <w:rFonts w:hint="eastAsia" w:ascii="宋体" w:hAnsi="宋体"/>
          <w:color w:val="000000"/>
          <w:sz w:val="21"/>
          <w:szCs w:val="21"/>
          <w:highlight w:val="none"/>
        </w:rPr>
        <w:t>附：</w:t>
      </w:r>
      <w:r>
        <w:rPr>
          <w:rFonts w:hint="eastAsia" w:ascii="宋体" w:hAnsi="宋体"/>
          <w:color w:val="000000"/>
          <w:sz w:val="21"/>
          <w:szCs w:val="21"/>
          <w:highlight w:val="none"/>
          <w:lang w:eastAsia="zh-CN"/>
        </w:rPr>
        <w:t>法定代表人</w:t>
      </w:r>
      <w:r>
        <w:rPr>
          <w:rFonts w:hint="eastAsia" w:ascii="宋体" w:hAnsi="宋体"/>
          <w:color w:val="000000"/>
          <w:sz w:val="21"/>
          <w:szCs w:val="21"/>
          <w:highlight w:val="none"/>
        </w:rPr>
        <w:t>身份证</w:t>
      </w:r>
      <w:bookmarkEnd w:id="71"/>
      <w:r>
        <w:rPr>
          <w:rFonts w:hint="eastAsia" w:ascii="宋体" w:hAnsi="宋体"/>
          <w:color w:val="000000"/>
          <w:sz w:val="21"/>
          <w:szCs w:val="21"/>
          <w:highlight w:val="none"/>
        </w:rPr>
        <w:t>和委托代理人身份证（正、反两面）</w:t>
      </w:r>
      <w:r>
        <w:rPr>
          <w:rFonts w:hint="eastAsia" w:ascii="宋体" w:hAnsi="宋体"/>
          <w:color w:val="000000"/>
          <w:sz w:val="21"/>
          <w:szCs w:val="21"/>
          <w:highlight w:val="none"/>
          <w:lang w:val="en-US" w:eastAsia="zh-CN"/>
        </w:rPr>
        <w:t>复印件</w:t>
      </w:r>
    </w:p>
    <w:p w14:paraId="70808E3C">
      <w:pPr>
        <w:keepNext w:val="0"/>
        <w:keepLines w:val="0"/>
        <w:widowControl/>
        <w:suppressLineNumbers w:val="0"/>
        <w:spacing w:line="480" w:lineRule="auto"/>
        <w:jc w:val="left"/>
        <w:rPr>
          <w:rFonts w:hint="eastAsia" w:ascii="宋体" w:hAnsi="宋体" w:eastAsia="宋体" w:cs="宋体"/>
          <w:color w:val="000000"/>
          <w:kern w:val="0"/>
          <w:sz w:val="28"/>
          <w:szCs w:val="28"/>
          <w:highlight w:val="none"/>
          <w:lang w:val="en-US" w:eastAsia="zh-CN" w:bidi="ar"/>
        </w:rPr>
      </w:pPr>
    </w:p>
    <w:p w14:paraId="77A3DA5F">
      <w:pPr>
        <w:pStyle w:val="26"/>
        <w:ind w:firstLine="482"/>
        <w:rPr>
          <w:color w:val="000000"/>
          <w:sz w:val="44"/>
          <w:szCs w:val="20"/>
          <w:highlight w:val="none"/>
        </w:rPr>
      </w:pPr>
    </w:p>
    <w:p w14:paraId="65DAEF56">
      <w:pPr>
        <w:spacing w:line="360" w:lineRule="auto"/>
        <w:ind w:firstLine="4500" w:firstLineChars="2250"/>
        <w:rPr>
          <w:rFonts w:hint="eastAsia" w:ascii="宋体" w:hAnsi="宋体"/>
          <w:color w:val="000000"/>
          <w:sz w:val="20"/>
          <w:szCs w:val="20"/>
          <w:highlight w:val="none"/>
          <w:lang w:val="en-US" w:eastAsia="zh-CN"/>
        </w:rPr>
      </w:pPr>
    </w:p>
    <w:p w14:paraId="1484E7B0">
      <w:pPr>
        <w:spacing w:line="360" w:lineRule="auto"/>
        <w:ind w:firstLine="4500" w:firstLineChars="2250"/>
        <w:rPr>
          <w:rFonts w:hint="eastAsia" w:ascii="宋体" w:hAnsi="宋体"/>
          <w:color w:val="000000"/>
          <w:sz w:val="20"/>
          <w:szCs w:val="20"/>
          <w:highlight w:val="none"/>
          <w:lang w:val="en-US" w:eastAsia="zh-CN"/>
        </w:rPr>
      </w:pPr>
    </w:p>
    <w:p w14:paraId="485F0C16">
      <w:pPr>
        <w:spacing w:line="360" w:lineRule="auto"/>
        <w:ind w:firstLine="4500" w:firstLineChars="2250"/>
        <w:rPr>
          <w:rFonts w:hint="eastAsia" w:ascii="宋体" w:hAnsi="宋体"/>
          <w:color w:val="000000"/>
          <w:sz w:val="20"/>
          <w:szCs w:val="20"/>
          <w:highlight w:val="none"/>
          <w:lang w:val="en-US" w:eastAsia="zh-CN"/>
        </w:rPr>
      </w:pPr>
    </w:p>
    <w:p w14:paraId="195BB2B9">
      <w:pPr>
        <w:spacing w:line="360" w:lineRule="auto"/>
        <w:ind w:firstLine="4500" w:firstLineChars="2250"/>
        <w:rPr>
          <w:rFonts w:hint="eastAsia" w:ascii="宋体" w:hAnsi="宋体"/>
          <w:color w:val="000000"/>
          <w:sz w:val="20"/>
          <w:szCs w:val="20"/>
          <w:highlight w:val="none"/>
          <w:lang w:val="en-US" w:eastAsia="zh-CN"/>
        </w:rPr>
      </w:pPr>
    </w:p>
    <w:p w14:paraId="0F7F2547">
      <w:pPr>
        <w:spacing w:line="360" w:lineRule="auto"/>
        <w:ind w:firstLine="4725" w:firstLineChars="2250"/>
        <w:rPr>
          <w:rFonts w:ascii="宋体" w:hAnsi="宋体"/>
          <w:color w:val="000000"/>
          <w:sz w:val="21"/>
          <w:szCs w:val="21"/>
          <w:highlight w:val="none"/>
        </w:rPr>
      </w:pPr>
      <w:r>
        <w:rPr>
          <w:rFonts w:hint="eastAsia" w:ascii="宋体" w:hAnsi="宋体"/>
          <w:color w:val="000000"/>
          <w:sz w:val="21"/>
          <w:szCs w:val="21"/>
          <w:highlight w:val="none"/>
          <w:lang w:val="en-US" w:eastAsia="zh-CN"/>
        </w:rPr>
        <w:t>供应商</w:t>
      </w:r>
      <w:r>
        <w:rPr>
          <w:rFonts w:hint="eastAsia" w:ascii="宋体" w:hAnsi="宋体"/>
          <w:color w:val="000000"/>
          <w:sz w:val="21"/>
          <w:szCs w:val="21"/>
          <w:highlight w:val="none"/>
        </w:rPr>
        <w:t>：</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（盖章）</w:t>
      </w:r>
    </w:p>
    <w:p w14:paraId="2E718007">
      <w:pPr>
        <w:spacing w:line="360" w:lineRule="auto"/>
        <w:ind w:firstLine="420" w:firstLineChars="200"/>
        <w:rPr>
          <w:rFonts w:ascii="宋体" w:hAnsi="宋体"/>
          <w:color w:val="000000"/>
          <w:sz w:val="21"/>
          <w:szCs w:val="21"/>
          <w:highlight w:val="none"/>
        </w:rPr>
      </w:pPr>
    </w:p>
    <w:p w14:paraId="0E3F6654">
      <w:pPr>
        <w:spacing w:line="360" w:lineRule="auto"/>
        <w:jc w:val="right"/>
        <w:rPr>
          <w:rFonts w:ascii="宋体" w:hAnsi="宋体"/>
          <w:color w:val="000000"/>
          <w:sz w:val="21"/>
          <w:szCs w:val="21"/>
          <w:highlight w:val="none"/>
        </w:rPr>
      </w:pPr>
      <w:r>
        <w:rPr>
          <w:rFonts w:hint="eastAsia" w:ascii="宋体" w:hAnsi="宋体"/>
          <w:color w:val="000000"/>
          <w:sz w:val="21"/>
          <w:szCs w:val="21"/>
          <w:highlight w:val="none"/>
          <w:lang w:eastAsia="zh-CN"/>
        </w:rPr>
        <w:t>法定代表人</w:t>
      </w:r>
      <w:r>
        <w:rPr>
          <w:rFonts w:hint="eastAsia" w:ascii="宋体" w:hAnsi="宋体"/>
          <w:color w:val="000000"/>
          <w:sz w:val="21"/>
          <w:szCs w:val="21"/>
          <w:highlight w:val="none"/>
        </w:rPr>
        <w:t>：</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（签字或盖章）</w:t>
      </w:r>
    </w:p>
    <w:p w14:paraId="00168A23">
      <w:pPr>
        <w:spacing w:line="360" w:lineRule="auto"/>
        <w:ind w:firstLine="420" w:firstLineChars="200"/>
        <w:rPr>
          <w:rFonts w:ascii="宋体" w:hAnsi="宋体"/>
          <w:color w:val="000000"/>
          <w:sz w:val="21"/>
          <w:szCs w:val="21"/>
          <w:highlight w:val="none"/>
        </w:rPr>
      </w:pPr>
    </w:p>
    <w:p w14:paraId="072A9ECF">
      <w:pPr>
        <w:spacing w:line="360" w:lineRule="auto"/>
        <w:ind w:firstLine="4725" w:firstLineChars="2250"/>
        <w:rPr>
          <w:rFonts w:ascii="宋体" w:hAnsi="宋体"/>
          <w:color w:val="000000"/>
          <w:sz w:val="21"/>
          <w:szCs w:val="21"/>
          <w:highlight w:val="none"/>
        </w:rPr>
      </w:pPr>
      <w:r>
        <w:rPr>
          <w:rFonts w:hint="eastAsia" w:ascii="宋体" w:hAnsi="宋体"/>
          <w:color w:val="000000"/>
          <w:sz w:val="21"/>
          <w:szCs w:val="21"/>
          <w:highlight w:val="none"/>
        </w:rPr>
        <w:t>身份证号码：</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 xml:space="preserve">                                     </w:t>
      </w:r>
    </w:p>
    <w:p w14:paraId="1412DDAB">
      <w:pPr>
        <w:spacing w:line="360" w:lineRule="auto"/>
        <w:ind w:firstLine="420" w:firstLineChars="200"/>
        <w:rPr>
          <w:rFonts w:hint="eastAsia" w:ascii="宋体" w:hAnsi="宋体"/>
          <w:color w:val="000000"/>
          <w:sz w:val="21"/>
          <w:szCs w:val="21"/>
          <w:highlight w:val="none"/>
        </w:rPr>
      </w:pPr>
    </w:p>
    <w:p w14:paraId="0EC3F29D">
      <w:pPr>
        <w:spacing w:line="360" w:lineRule="auto"/>
        <w:ind w:firstLine="4725" w:firstLineChars="2250"/>
        <w:rPr>
          <w:rFonts w:ascii="宋体" w:hAnsi="宋体"/>
          <w:color w:val="000000"/>
          <w:sz w:val="21"/>
          <w:szCs w:val="21"/>
          <w:highlight w:val="none"/>
        </w:rPr>
      </w:pPr>
      <w:r>
        <w:rPr>
          <w:rFonts w:hint="eastAsia" w:ascii="宋体" w:hAnsi="宋体"/>
          <w:color w:val="000000"/>
          <w:sz w:val="21"/>
          <w:szCs w:val="21"/>
          <w:highlight w:val="none"/>
        </w:rPr>
        <w:t>委托代理人：</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（签字</w:t>
      </w:r>
      <w:r>
        <w:rPr>
          <w:rFonts w:hint="eastAsia" w:ascii="宋体" w:hAnsi="宋体"/>
          <w:color w:val="000000"/>
          <w:sz w:val="21"/>
          <w:szCs w:val="21"/>
          <w:highlight w:val="none"/>
          <w:lang w:val="en-US" w:eastAsia="zh-CN"/>
        </w:rPr>
        <w:t>或盖章</w:t>
      </w:r>
      <w:r>
        <w:rPr>
          <w:rFonts w:hint="eastAsia" w:ascii="宋体" w:hAnsi="宋体"/>
          <w:color w:val="000000"/>
          <w:sz w:val="21"/>
          <w:szCs w:val="21"/>
          <w:highlight w:val="none"/>
        </w:rPr>
        <w:t>）</w:t>
      </w:r>
    </w:p>
    <w:p w14:paraId="6AC2CBC9">
      <w:pPr>
        <w:spacing w:line="360" w:lineRule="auto"/>
        <w:ind w:firstLine="420" w:firstLineChars="200"/>
        <w:rPr>
          <w:rFonts w:ascii="宋体" w:hAnsi="宋体"/>
          <w:color w:val="000000"/>
          <w:sz w:val="21"/>
          <w:szCs w:val="21"/>
          <w:highlight w:val="none"/>
        </w:rPr>
      </w:pPr>
    </w:p>
    <w:p w14:paraId="2803338B">
      <w:pPr>
        <w:spacing w:line="360" w:lineRule="auto"/>
        <w:ind w:firstLine="4725" w:firstLineChars="2250"/>
        <w:rPr>
          <w:rFonts w:hint="eastAsia" w:ascii="宋体" w:hAnsi="宋体"/>
          <w:color w:val="000000"/>
          <w:sz w:val="21"/>
          <w:szCs w:val="21"/>
          <w:highlight w:val="none"/>
        </w:rPr>
      </w:pPr>
      <w:r>
        <w:rPr>
          <w:rFonts w:hint="eastAsia" w:ascii="宋体" w:hAnsi="宋体"/>
          <w:color w:val="000000"/>
          <w:sz w:val="21"/>
          <w:szCs w:val="21"/>
          <w:highlight w:val="none"/>
        </w:rPr>
        <w:t>身份证号码：</w:t>
      </w:r>
      <w:r>
        <w:rPr>
          <w:rFonts w:hint="eastAsia" w:ascii="宋体" w:hAnsi="宋体"/>
          <w:color w:val="000000"/>
          <w:sz w:val="21"/>
          <w:szCs w:val="21"/>
          <w:highlight w:val="none"/>
          <w:u w:val="single"/>
        </w:rPr>
        <w:t xml:space="preserve">                            </w:t>
      </w:r>
    </w:p>
    <w:p w14:paraId="25281DAF">
      <w:pPr>
        <w:spacing w:line="360" w:lineRule="auto"/>
        <w:ind w:firstLine="5355" w:firstLineChars="2550"/>
        <w:rPr>
          <w:rFonts w:hint="eastAsia" w:ascii="宋体" w:hAnsi="宋体"/>
          <w:color w:val="000000"/>
          <w:sz w:val="21"/>
          <w:szCs w:val="21"/>
          <w:highlight w:val="none"/>
        </w:rPr>
      </w:pPr>
    </w:p>
    <w:p w14:paraId="6221CF5D">
      <w:pPr>
        <w:spacing w:line="360" w:lineRule="auto"/>
        <w:ind w:firstLine="5040" w:firstLineChars="2400"/>
        <w:rPr>
          <w:rFonts w:hint="eastAsia" w:ascii="宋体" w:hAnsi="宋体"/>
          <w:color w:val="000000"/>
          <w:sz w:val="21"/>
          <w:szCs w:val="21"/>
          <w:highlight w:val="none"/>
        </w:rPr>
      </w:pP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年</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月</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日</w:t>
      </w:r>
    </w:p>
    <w:p w14:paraId="4F573EA7">
      <w:pPr>
        <w:spacing w:line="360" w:lineRule="auto"/>
        <w:ind w:firstLine="420" w:firstLineChars="200"/>
        <w:rPr>
          <w:rFonts w:hint="eastAsia" w:ascii="宋体" w:hAnsi="宋体"/>
          <w:color w:val="000000"/>
          <w:sz w:val="21"/>
          <w:szCs w:val="21"/>
          <w:highlight w:val="none"/>
        </w:rPr>
      </w:pPr>
    </w:p>
    <w:p w14:paraId="5D316954">
      <w:pPr>
        <w:spacing w:line="360" w:lineRule="auto"/>
        <w:ind w:firstLine="422" w:firstLineChars="200"/>
        <w:rPr>
          <w:rFonts w:hint="eastAsia" w:ascii="宋体" w:hAnsi="宋体"/>
          <w:b/>
          <w:color w:val="000000"/>
          <w:sz w:val="21"/>
          <w:szCs w:val="21"/>
          <w:highlight w:val="none"/>
        </w:rPr>
        <w:sectPr>
          <w:pgSz w:w="11906" w:h="16838"/>
          <w:pgMar w:top="1418" w:right="1134" w:bottom="1418" w:left="1134" w:header="851" w:footer="992" w:gutter="0"/>
          <w:pgNumType w:fmt="decimal"/>
          <w:cols w:space="720" w:num="1"/>
          <w:docGrid w:type="lines" w:linePitch="312" w:charSpace="0"/>
        </w:sectPr>
      </w:pPr>
    </w:p>
    <w:p w14:paraId="628F4616">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29FB47AD">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00209D17">
      <w:pPr>
        <w:keepNext w:val="0"/>
        <w:keepLines w:val="0"/>
        <w:widowControl/>
        <w:suppressLineNumbers w:val="0"/>
        <w:jc w:val="center"/>
        <w:rPr>
          <w:rFonts w:hint="default"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五、类似项目业绩</w:t>
      </w:r>
    </w:p>
    <w:p w14:paraId="5E034990">
      <w:pPr>
        <w:spacing w:line="362" w:lineRule="auto"/>
        <w:jc w:val="center"/>
        <w:rPr>
          <w:rFonts w:hint="eastAsia" w:ascii="Arial"/>
          <w:sz w:val="20"/>
          <w:szCs w:val="20"/>
          <w:highlight w:val="none"/>
          <w:lang w:val="en-US" w:eastAsia="zh-CN"/>
        </w:rPr>
      </w:pPr>
    </w:p>
    <w:p w14:paraId="4B38D581">
      <w:pPr>
        <w:spacing w:line="362" w:lineRule="auto"/>
        <w:jc w:val="center"/>
        <w:rPr>
          <w:rFonts w:hint="default" w:ascii="Arial" w:eastAsia="宋体"/>
          <w:sz w:val="20"/>
          <w:szCs w:val="20"/>
          <w:highlight w:val="none"/>
          <w:lang w:val="en-US" w:eastAsia="zh-CN"/>
        </w:rPr>
      </w:pPr>
      <w:r>
        <w:rPr>
          <w:rFonts w:hint="eastAsia" w:ascii="Arial"/>
          <w:sz w:val="20"/>
          <w:szCs w:val="20"/>
          <w:highlight w:val="none"/>
          <w:lang w:val="en-US" w:eastAsia="zh-CN"/>
        </w:rPr>
        <w:t>格式自拟</w:t>
      </w:r>
    </w:p>
    <w:p w14:paraId="6197BD1C">
      <w:pPr>
        <w:spacing w:before="65" w:line="380" w:lineRule="auto"/>
        <w:ind w:left="2843" w:right="978" w:firstLine="849"/>
        <w:rPr>
          <w:rFonts w:hint="eastAsia" w:ascii="宋体" w:hAnsi="宋体" w:cs="宋体"/>
          <w:spacing w:val="-2"/>
          <w:sz w:val="20"/>
          <w:szCs w:val="20"/>
          <w:highlight w:val="none"/>
          <w:lang w:val="en-US" w:eastAsia="zh-CN"/>
        </w:rPr>
      </w:pPr>
    </w:p>
    <w:p w14:paraId="7F426C2C">
      <w:pPr>
        <w:spacing w:before="65" w:line="380" w:lineRule="auto"/>
        <w:ind w:left="2843" w:right="978" w:firstLine="849"/>
        <w:rPr>
          <w:rFonts w:hint="eastAsia" w:ascii="宋体" w:hAnsi="宋体" w:cs="宋体"/>
          <w:spacing w:val="-2"/>
          <w:sz w:val="20"/>
          <w:szCs w:val="20"/>
          <w:highlight w:val="none"/>
          <w:lang w:val="en-US" w:eastAsia="zh-CN"/>
        </w:rPr>
      </w:pPr>
    </w:p>
    <w:p w14:paraId="717D340B">
      <w:pPr>
        <w:spacing w:before="65" w:line="380" w:lineRule="auto"/>
        <w:ind w:left="2843" w:right="978" w:firstLine="849"/>
        <w:rPr>
          <w:rFonts w:hint="eastAsia" w:ascii="宋体" w:hAnsi="宋体" w:cs="宋体"/>
          <w:spacing w:val="-2"/>
          <w:sz w:val="20"/>
          <w:szCs w:val="20"/>
          <w:highlight w:val="none"/>
          <w:lang w:val="en-US" w:eastAsia="zh-CN"/>
        </w:rPr>
      </w:pPr>
    </w:p>
    <w:p w14:paraId="28CAA063">
      <w:pPr>
        <w:spacing w:before="65" w:line="380" w:lineRule="auto"/>
        <w:ind w:left="2843" w:right="978" w:firstLine="849"/>
        <w:rPr>
          <w:rFonts w:hint="eastAsia" w:ascii="宋体" w:hAnsi="宋体" w:cs="宋体"/>
          <w:spacing w:val="-2"/>
          <w:sz w:val="20"/>
          <w:szCs w:val="20"/>
          <w:highlight w:val="none"/>
          <w:lang w:val="en-US" w:eastAsia="zh-CN"/>
        </w:rPr>
      </w:pPr>
    </w:p>
    <w:p w14:paraId="0FB85DA9">
      <w:pPr>
        <w:spacing w:before="65" w:line="380" w:lineRule="auto"/>
        <w:ind w:left="2843" w:right="978" w:firstLine="849"/>
        <w:rPr>
          <w:rFonts w:hint="eastAsia" w:ascii="宋体" w:hAnsi="宋体" w:cs="宋体"/>
          <w:spacing w:val="-2"/>
          <w:sz w:val="20"/>
          <w:szCs w:val="20"/>
          <w:highlight w:val="none"/>
          <w:lang w:val="en-US" w:eastAsia="zh-CN"/>
        </w:rPr>
      </w:pPr>
    </w:p>
    <w:p w14:paraId="57088791">
      <w:pPr>
        <w:spacing w:before="65" w:line="380" w:lineRule="auto"/>
        <w:ind w:left="2843" w:right="978" w:firstLine="849"/>
        <w:rPr>
          <w:rFonts w:hint="eastAsia" w:ascii="宋体" w:hAnsi="宋体" w:cs="宋体"/>
          <w:spacing w:val="-2"/>
          <w:sz w:val="20"/>
          <w:szCs w:val="20"/>
          <w:highlight w:val="none"/>
          <w:lang w:val="en-US" w:eastAsia="zh-CN"/>
        </w:rPr>
      </w:pPr>
    </w:p>
    <w:p w14:paraId="71AC9B98">
      <w:pPr>
        <w:spacing w:before="65" w:line="380" w:lineRule="auto"/>
        <w:ind w:left="2843" w:right="978" w:firstLine="849"/>
        <w:rPr>
          <w:rFonts w:hint="eastAsia" w:ascii="宋体" w:hAnsi="宋体" w:cs="宋体"/>
          <w:spacing w:val="-2"/>
          <w:sz w:val="20"/>
          <w:szCs w:val="20"/>
          <w:highlight w:val="none"/>
          <w:lang w:val="en-US" w:eastAsia="zh-CN"/>
        </w:rPr>
      </w:pPr>
    </w:p>
    <w:p w14:paraId="2B74A250">
      <w:pPr>
        <w:spacing w:before="65" w:line="380" w:lineRule="auto"/>
        <w:ind w:left="2843" w:right="978" w:firstLine="849"/>
        <w:rPr>
          <w:rFonts w:hint="eastAsia" w:ascii="宋体" w:hAnsi="宋体" w:cs="宋体"/>
          <w:spacing w:val="-2"/>
          <w:sz w:val="20"/>
          <w:szCs w:val="20"/>
          <w:highlight w:val="none"/>
          <w:lang w:val="en-US" w:eastAsia="zh-CN"/>
        </w:rPr>
      </w:pPr>
    </w:p>
    <w:p w14:paraId="073D8310">
      <w:pPr>
        <w:spacing w:before="65" w:line="380" w:lineRule="auto"/>
        <w:ind w:left="2843" w:right="978" w:firstLine="849"/>
        <w:rPr>
          <w:rFonts w:hint="eastAsia" w:ascii="宋体" w:hAnsi="宋体" w:cs="宋体"/>
          <w:spacing w:val="-2"/>
          <w:sz w:val="20"/>
          <w:szCs w:val="20"/>
          <w:highlight w:val="none"/>
          <w:lang w:val="en-US" w:eastAsia="zh-CN"/>
        </w:rPr>
      </w:pPr>
    </w:p>
    <w:p w14:paraId="1FBFD1AB">
      <w:pPr>
        <w:spacing w:line="360" w:lineRule="auto"/>
        <w:jc w:val="right"/>
        <w:outlineLvl w:val="2"/>
        <w:rPr>
          <w:rFonts w:hint="eastAsia"/>
          <w:b w:val="0"/>
          <w:bCs/>
          <w:sz w:val="21"/>
          <w:szCs w:val="21"/>
          <w:highlight w:val="none"/>
        </w:rPr>
      </w:pPr>
      <w:r>
        <w:rPr>
          <w:rFonts w:hint="eastAsia"/>
          <w:b w:val="0"/>
          <w:bCs/>
          <w:sz w:val="21"/>
          <w:szCs w:val="21"/>
          <w:highlight w:val="none"/>
        </w:rPr>
        <w:t xml:space="preserve">供应商： </w:t>
      </w:r>
      <w:r>
        <w:rPr>
          <w:rFonts w:hint="eastAsia"/>
          <w:b w:val="0"/>
          <w:bCs/>
          <w:sz w:val="21"/>
          <w:szCs w:val="21"/>
          <w:highlight w:val="none"/>
          <w:u w:val="single"/>
          <w:lang w:val="en-US" w:eastAsia="zh-CN"/>
        </w:rPr>
        <w:t xml:space="preserve">              </w:t>
      </w:r>
      <w:r>
        <w:rPr>
          <w:rFonts w:hint="eastAsia"/>
          <w:b w:val="0"/>
          <w:bCs/>
          <w:sz w:val="21"/>
          <w:szCs w:val="21"/>
          <w:highlight w:val="none"/>
          <w:u w:val="single"/>
        </w:rPr>
        <w:tab/>
      </w:r>
      <w:r>
        <w:rPr>
          <w:rFonts w:hint="eastAsia"/>
          <w:b w:val="0"/>
          <w:bCs/>
          <w:sz w:val="21"/>
          <w:szCs w:val="21"/>
          <w:highlight w:val="none"/>
        </w:rPr>
        <w:t>（盖单位章）</w:t>
      </w:r>
    </w:p>
    <w:p w14:paraId="29AF5667">
      <w:pPr>
        <w:spacing w:line="360" w:lineRule="auto"/>
        <w:jc w:val="right"/>
        <w:outlineLvl w:val="2"/>
        <w:rPr>
          <w:rFonts w:hint="eastAsia"/>
          <w:b w:val="0"/>
          <w:bCs/>
          <w:sz w:val="21"/>
          <w:szCs w:val="21"/>
          <w:highlight w:val="none"/>
        </w:rPr>
      </w:pPr>
      <w:r>
        <w:rPr>
          <w:rFonts w:hint="eastAsia"/>
          <w:b w:val="0"/>
          <w:bCs/>
          <w:sz w:val="21"/>
          <w:szCs w:val="21"/>
          <w:highlight w:val="none"/>
          <w:lang w:eastAsia="zh-CN"/>
        </w:rPr>
        <w:t>法定代表人</w:t>
      </w:r>
      <w:r>
        <w:rPr>
          <w:rFonts w:hint="eastAsia"/>
          <w:b w:val="0"/>
          <w:bCs/>
          <w:sz w:val="21"/>
          <w:szCs w:val="21"/>
          <w:highlight w:val="none"/>
        </w:rPr>
        <w:t>及其委托代理人：</w:t>
      </w:r>
      <w:r>
        <w:rPr>
          <w:rFonts w:hint="eastAsia"/>
          <w:b w:val="0"/>
          <w:bCs/>
          <w:sz w:val="21"/>
          <w:szCs w:val="21"/>
          <w:highlight w:val="none"/>
          <w:u w:val="single"/>
          <w:lang w:val="en-US" w:eastAsia="zh-CN"/>
        </w:rPr>
        <w:t xml:space="preserve">         </w:t>
      </w:r>
      <w:r>
        <w:rPr>
          <w:rFonts w:hint="eastAsia"/>
          <w:b w:val="0"/>
          <w:bCs/>
          <w:sz w:val="21"/>
          <w:szCs w:val="21"/>
          <w:highlight w:val="none"/>
          <w:u w:val="single"/>
        </w:rPr>
        <w:t xml:space="preserve"> </w:t>
      </w:r>
      <w:r>
        <w:rPr>
          <w:rFonts w:hint="eastAsia"/>
          <w:b w:val="0"/>
          <w:bCs/>
          <w:sz w:val="21"/>
          <w:szCs w:val="21"/>
          <w:highlight w:val="none"/>
          <w:u w:val="single"/>
        </w:rPr>
        <w:tab/>
      </w:r>
      <w:r>
        <w:rPr>
          <w:rFonts w:hint="eastAsia"/>
          <w:b w:val="0"/>
          <w:bCs/>
          <w:sz w:val="21"/>
          <w:szCs w:val="21"/>
          <w:highlight w:val="none"/>
        </w:rPr>
        <w:t>（签字）</w:t>
      </w:r>
    </w:p>
    <w:p w14:paraId="72DE2520">
      <w:pPr>
        <w:keepNext w:val="0"/>
        <w:keepLines w:val="0"/>
        <w:widowControl/>
        <w:suppressLineNumbers w:val="0"/>
        <w:spacing w:line="480" w:lineRule="auto"/>
        <w:jc w:val="right"/>
        <w:rPr>
          <w:rFonts w:hint="eastAsia" w:ascii="宋体" w:hAnsi="宋体" w:cs="宋体"/>
          <w:b/>
          <w:bCs/>
          <w:color w:val="000000"/>
          <w:kern w:val="0"/>
          <w:sz w:val="32"/>
          <w:szCs w:val="32"/>
          <w:highlight w:val="none"/>
          <w:lang w:val="en-US" w:eastAsia="zh-CN" w:bidi="ar"/>
        </w:rPr>
      </w:pPr>
      <w:r>
        <w:rPr>
          <w:rFonts w:hint="eastAsia"/>
          <w:b w:val="0"/>
          <w:bCs/>
          <w:sz w:val="21"/>
          <w:szCs w:val="21"/>
          <w:highlight w:val="none"/>
        </w:rPr>
        <w:t xml:space="preserve"> </w:t>
      </w:r>
      <w:r>
        <w:rPr>
          <w:rFonts w:hint="eastAsia"/>
          <w:b w:val="0"/>
          <w:bCs/>
          <w:sz w:val="21"/>
          <w:szCs w:val="21"/>
          <w:highlight w:val="none"/>
          <w:lang w:val="en-US" w:eastAsia="zh-CN"/>
        </w:rPr>
        <w:t>日期：</w:t>
      </w:r>
      <w:r>
        <w:rPr>
          <w:rFonts w:hint="eastAsia"/>
          <w:b w:val="0"/>
          <w:bCs/>
          <w:sz w:val="21"/>
          <w:szCs w:val="21"/>
          <w:highlight w:val="none"/>
        </w:rPr>
        <w:t xml:space="preserve">年 </w:t>
      </w:r>
      <w:r>
        <w:rPr>
          <w:rFonts w:hint="eastAsia"/>
          <w:b w:val="0"/>
          <w:bCs/>
          <w:sz w:val="21"/>
          <w:szCs w:val="21"/>
          <w:highlight w:val="none"/>
          <w:lang w:val="en-US" w:eastAsia="zh-CN"/>
        </w:rPr>
        <w:t xml:space="preserve"> </w:t>
      </w:r>
      <w:r>
        <w:rPr>
          <w:rFonts w:hint="eastAsia"/>
          <w:b w:val="0"/>
          <w:bCs/>
          <w:sz w:val="21"/>
          <w:szCs w:val="21"/>
          <w:highlight w:val="none"/>
        </w:rPr>
        <w:tab/>
      </w:r>
      <w:r>
        <w:rPr>
          <w:rFonts w:hint="eastAsia"/>
          <w:b w:val="0"/>
          <w:bCs/>
          <w:sz w:val="21"/>
          <w:szCs w:val="21"/>
          <w:highlight w:val="none"/>
        </w:rPr>
        <w:t xml:space="preserve">月 </w:t>
      </w:r>
      <w:r>
        <w:rPr>
          <w:rFonts w:hint="eastAsia"/>
          <w:b w:val="0"/>
          <w:bCs/>
          <w:sz w:val="21"/>
          <w:szCs w:val="21"/>
          <w:highlight w:val="none"/>
        </w:rPr>
        <w:tab/>
      </w:r>
      <w:r>
        <w:rPr>
          <w:rFonts w:hint="eastAsia"/>
          <w:b w:val="0"/>
          <w:bCs/>
          <w:sz w:val="21"/>
          <w:szCs w:val="21"/>
          <w:highlight w:val="none"/>
          <w:lang w:val="en-US" w:eastAsia="zh-CN"/>
        </w:rPr>
        <w:t xml:space="preserve"> </w:t>
      </w:r>
      <w:r>
        <w:rPr>
          <w:rFonts w:hint="eastAsia"/>
          <w:b w:val="0"/>
          <w:bCs/>
          <w:sz w:val="21"/>
          <w:szCs w:val="21"/>
          <w:highlight w:val="none"/>
        </w:rPr>
        <w:t>日</w:t>
      </w:r>
    </w:p>
    <w:p w14:paraId="68B51622">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2A4522E3">
      <w:pPr>
        <w:rPr>
          <w:rFonts w:hint="eastAsia" w:ascii="宋体" w:hAnsi="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br w:type="page"/>
      </w:r>
    </w:p>
    <w:p w14:paraId="0E51E7BD">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六</w:t>
      </w:r>
      <w:r>
        <w:rPr>
          <w:rFonts w:hint="eastAsia" w:ascii="宋体" w:hAnsi="宋体" w:eastAsia="宋体" w:cs="宋体"/>
          <w:b/>
          <w:bCs/>
          <w:color w:val="000000"/>
          <w:kern w:val="0"/>
          <w:sz w:val="24"/>
          <w:szCs w:val="24"/>
          <w:highlight w:val="none"/>
          <w:lang w:val="en-US" w:eastAsia="zh-CN" w:bidi="ar"/>
        </w:rPr>
        <w:t>、 货物清单一览表</w:t>
      </w:r>
    </w:p>
    <w:tbl>
      <w:tblPr>
        <w:tblStyle w:val="28"/>
        <w:tblpPr w:leftFromText="180" w:rightFromText="180" w:vertAnchor="text" w:horzAnchor="page" w:tblpXSpec="center" w:tblpY="569"/>
        <w:tblOverlap w:val="never"/>
        <w:tblW w:w="10733" w:type="dxa"/>
        <w:jc w:val="center"/>
        <w:tblLayout w:type="fixed"/>
        <w:tblCellMar>
          <w:top w:w="0" w:type="dxa"/>
          <w:left w:w="108" w:type="dxa"/>
          <w:bottom w:w="0" w:type="dxa"/>
          <w:right w:w="108" w:type="dxa"/>
        </w:tblCellMar>
      </w:tblPr>
      <w:tblGrid>
        <w:gridCol w:w="1745"/>
        <w:gridCol w:w="1860"/>
        <w:gridCol w:w="1425"/>
        <w:gridCol w:w="1425"/>
        <w:gridCol w:w="1079"/>
        <w:gridCol w:w="1348"/>
        <w:gridCol w:w="1851"/>
      </w:tblGrid>
      <w:tr w14:paraId="78C34B93">
        <w:tblPrEx>
          <w:tblCellMar>
            <w:top w:w="0" w:type="dxa"/>
            <w:left w:w="108" w:type="dxa"/>
            <w:bottom w:w="0" w:type="dxa"/>
            <w:right w:w="108" w:type="dxa"/>
          </w:tblCellMar>
        </w:tblPrEx>
        <w:trPr>
          <w:trHeight w:val="665"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14:paraId="5EFADE30">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名称</w:t>
            </w:r>
          </w:p>
        </w:tc>
        <w:tc>
          <w:tcPr>
            <w:tcW w:w="1860" w:type="dxa"/>
            <w:tcBorders>
              <w:top w:val="single" w:color="auto" w:sz="4" w:space="0"/>
              <w:left w:val="nil"/>
              <w:bottom w:val="single" w:color="auto" w:sz="4" w:space="0"/>
              <w:right w:val="single" w:color="auto" w:sz="4" w:space="0"/>
            </w:tcBorders>
            <w:noWrap w:val="0"/>
            <w:vAlign w:val="center"/>
          </w:tcPr>
          <w:p w14:paraId="68B8A769">
            <w:pPr>
              <w:keepNext w:val="0"/>
              <w:keepLines w:val="0"/>
              <w:widowControl/>
              <w:suppressLineNumbers w:val="0"/>
              <w:jc w:val="center"/>
              <w:rPr>
                <w:rFonts w:hint="default"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厂家</w:t>
            </w:r>
          </w:p>
        </w:tc>
        <w:tc>
          <w:tcPr>
            <w:tcW w:w="1425" w:type="dxa"/>
            <w:tcBorders>
              <w:top w:val="single" w:color="auto" w:sz="4" w:space="0"/>
              <w:left w:val="nil"/>
              <w:bottom w:val="single" w:color="auto" w:sz="4" w:space="0"/>
              <w:right w:val="single" w:color="auto" w:sz="4" w:space="0"/>
            </w:tcBorders>
            <w:noWrap w:val="0"/>
            <w:vAlign w:val="center"/>
          </w:tcPr>
          <w:p w14:paraId="1672170E">
            <w:pPr>
              <w:keepNext w:val="0"/>
              <w:keepLines w:val="0"/>
              <w:widowControl/>
              <w:suppressLineNumbers w:val="0"/>
              <w:jc w:val="center"/>
              <w:rPr>
                <w:rFonts w:hint="default" w:ascii="宋体" w:hAnsi="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品牌</w:t>
            </w:r>
          </w:p>
        </w:tc>
        <w:tc>
          <w:tcPr>
            <w:tcW w:w="1425" w:type="dxa"/>
            <w:tcBorders>
              <w:top w:val="single" w:color="auto" w:sz="4" w:space="0"/>
              <w:left w:val="nil"/>
              <w:bottom w:val="single" w:color="auto" w:sz="4" w:space="0"/>
              <w:right w:val="single" w:color="auto" w:sz="4" w:space="0"/>
            </w:tcBorders>
            <w:noWrap w:val="0"/>
            <w:vAlign w:val="center"/>
          </w:tcPr>
          <w:p w14:paraId="135AEC46">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数量</w:t>
            </w:r>
          </w:p>
        </w:tc>
        <w:tc>
          <w:tcPr>
            <w:tcW w:w="1079" w:type="dxa"/>
            <w:tcBorders>
              <w:top w:val="single" w:color="auto" w:sz="4" w:space="0"/>
              <w:left w:val="nil"/>
              <w:bottom w:val="single" w:color="auto" w:sz="4" w:space="0"/>
              <w:right w:val="single" w:color="auto" w:sz="4" w:space="0"/>
            </w:tcBorders>
            <w:noWrap w:val="0"/>
            <w:vAlign w:val="center"/>
          </w:tcPr>
          <w:p w14:paraId="043A57AD">
            <w:pPr>
              <w:keepNext w:val="0"/>
              <w:keepLines w:val="0"/>
              <w:widowControl/>
              <w:suppressLineNumbers w:val="0"/>
              <w:jc w:val="center"/>
              <w:rPr>
                <w:rFonts w:hint="default"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单位</w:t>
            </w:r>
          </w:p>
        </w:tc>
        <w:tc>
          <w:tcPr>
            <w:tcW w:w="1348" w:type="dxa"/>
            <w:tcBorders>
              <w:top w:val="single" w:color="auto" w:sz="4" w:space="0"/>
              <w:left w:val="nil"/>
              <w:bottom w:val="single" w:color="auto" w:sz="4" w:space="0"/>
              <w:right w:val="single" w:color="auto" w:sz="4" w:space="0"/>
            </w:tcBorders>
            <w:noWrap w:val="0"/>
            <w:vAlign w:val="center"/>
          </w:tcPr>
          <w:p w14:paraId="50B4CAB7">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单价</w:t>
            </w:r>
          </w:p>
        </w:tc>
        <w:tc>
          <w:tcPr>
            <w:tcW w:w="1851" w:type="dxa"/>
            <w:tcBorders>
              <w:top w:val="single" w:color="auto" w:sz="4" w:space="0"/>
              <w:left w:val="nil"/>
              <w:bottom w:val="single" w:color="auto" w:sz="4" w:space="0"/>
              <w:right w:val="single" w:color="auto" w:sz="4" w:space="0"/>
            </w:tcBorders>
            <w:noWrap w:val="0"/>
            <w:vAlign w:val="center"/>
          </w:tcPr>
          <w:p w14:paraId="1F7AA681">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总价</w:t>
            </w:r>
          </w:p>
        </w:tc>
      </w:tr>
      <w:tr w14:paraId="1438A3B3">
        <w:tblPrEx>
          <w:tblCellMar>
            <w:top w:w="0" w:type="dxa"/>
            <w:left w:w="108" w:type="dxa"/>
            <w:bottom w:w="0" w:type="dxa"/>
            <w:right w:w="108" w:type="dxa"/>
          </w:tblCellMar>
        </w:tblPrEx>
        <w:trPr>
          <w:trHeight w:val="665"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14:paraId="3C7E26F3">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860" w:type="dxa"/>
            <w:tcBorders>
              <w:top w:val="single" w:color="auto" w:sz="4" w:space="0"/>
              <w:left w:val="nil"/>
              <w:bottom w:val="single" w:color="auto" w:sz="4" w:space="0"/>
              <w:right w:val="single" w:color="auto" w:sz="4" w:space="0"/>
            </w:tcBorders>
            <w:noWrap w:val="0"/>
            <w:vAlign w:val="center"/>
          </w:tcPr>
          <w:p w14:paraId="387BDF58">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425" w:type="dxa"/>
            <w:tcBorders>
              <w:top w:val="single" w:color="auto" w:sz="4" w:space="0"/>
              <w:left w:val="nil"/>
              <w:bottom w:val="single" w:color="auto" w:sz="4" w:space="0"/>
              <w:right w:val="single" w:color="auto" w:sz="4" w:space="0"/>
            </w:tcBorders>
            <w:noWrap w:val="0"/>
            <w:vAlign w:val="center"/>
          </w:tcPr>
          <w:p w14:paraId="232005A0">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425" w:type="dxa"/>
            <w:tcBorders>
              <w:top w:val="single" w:color="auto" w:sz="4" w:space="0"/>
              <w:left w:val="nil"/>
              <w:bottom w:val="single" w:color="auto" w:sz="4" w:space="0"/>
              <w:right w:val="single" w:color="auto" w:sz="4" w:space="0"/>
            </w:tcBorders>
            <w:noWrap w:val="0"/>
            <w:vAlign w:val="center"/>
          </w:tcPr>
          <w:p w14:paraId="75D6ED41">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079" w:type="dxa"/>
            <w:tcBorders>
              <w:top w:val="single" w:color="auto" w:sz="4" w:space="0"/>
              <w:left w:val="nil"/>
              <w:bottom w:val="single" w:color="auto" w:sz="4" w:space="0"/>
              <w:right w:val="single" w:color="auto" w:sz="4" w:space="0"/>
            </w:tcBorders>
            <w:noWrap w:val="0"/>
            <w:vAlign w:val="center"/>
          </w:tcPr>
          <w:p w14:paraId="54FB4CAB">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348" w:type="dxa"/>
            <w:tcBorders>
              <w:top w:val="single" w:color="auto" w:sz="4" w:space="0"/>
              <w:left w:val="nil"/>
              <w:bottom w:val="single" w:color="auto" w:sz="4" w:space="0"/>
              <w:right w:val="single" w:color="auto" w:sz="4" w:space="0"/>
            </w:tcBorders>
            <w:noWrap w:val="0"/>
            <w:vAlign w:val="center"/>
          </w:tcPr>
          <w:p w14:paraId="229047CE">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851" w:type="dxa"/>
            <w:tcBorders>
              <w:top w:val="single" w:color="auto" w:sz="4" w:space="0"/>
              <w:left w:val="nil"/>
              <w:bottom w:val="single" w:color="auto" w:sz="4" w:space="0"/>
              <w:right w:val="single" w:color="auto" w:sz="4" w:space="0"/>
            </w:tcBorders>
            <w:noWrap w:val="0"/>
            <w:vAlign w:val="center"/>
          </w:tcPr>
          <w:p w14:paraId="7BA3A665">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r>
      <w:tr w14:paraId="3535CDBF">
        <w:tblPrEx>
          <w:tblCellMar>
            <w:top w:w="0" w:type="dxa"/>
            <w:left w:w="108" w:type="dxa"/>
            <w:bottom w:w="0" w:type="dxa"/>
            <w:right w:w="108" w:type="dxa"/>
          </w:tblCellMar>
        </w:tblPrEx>
        <w:trPr>
          <w:trHeight w:val="689" w:hRule="atLeast"/>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14:paraId="6BE3B1BF">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860" w:type="dxa"/>
            <w:tcBorders>
              <w:top w:val="single" w:color="auto" w:sz="4" w:space="0"/>
              <w:left w:val="nil"/>
              <w:bottom w:val="single" w:color="auto" w:sz="4" w:space="0"/>
              <w:right w:val="single" w:color="auto" w:sz="4" w:space="0"/>
            </w:tcBorders>
            <w:noWrap w:val="0"/>
            <w:vAlign w:val="center"/>
          </w:tcPr>
          <w:p w14:paraId="524282A7">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425" w:type="dxa"/>
            <w:tcBorders>
              <w:top w:val="single" w:color="auto" w:sz="4" w:space="0"/>
              <w:left w:val="nil"/>
              <w:bottom w:val="single" w:color="auto" w:sz="4" w:space="0"/>
              <w:right w:val="single" w:color="auto" w:sz="4" w:space="0"/>
            </w:tcBorders>
            <w:noWrap w:val="0"/>
            <w:vAlign w:val="center"/>
          </w:tcPr>
          <w:p w14:paraId="64D233B1">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425" w:type="dxa"/>
            <w:tcBorders>
              <w:top w:val="single" w:color="auto" w:sz="4" w:space="0"/>
              <w:left w:val="nil"/>
              <w:bottom w:val="single" w:color="auto" w:sz="4" w:space="0"/>
              <w:right w:val="single" w:color="auto" w:sz="4" w:space="0"/>
            </w:tcBorders>
            <w:noWrap w:val="0"/>
            <w:vAlign w:val="center"/>
          </w:tcPr>
          <w:p w14:paraId="13889C77">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079" w:type="dxa"/>
            <w:tcBorders>
              <w:top w:val="single" w:color="auto" w:sz="4" w:space="0"/>
              <w:left w:val="nil"/>
              <w:bottom w:val="single" w:color="auto" w:sz="4" w:space="0"/>
              <w:right w:val="single" w:color="auto" w:sz="4" w:space="0"/>
            </w:tcBorders>
            <w:noWrap w:val="0"/>
            <w:vAlign w:val="center"/>
          </w:tcPr>
          <w:p w14:paraId="27CC6911">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348" w:type="dxa"/>
            <w:tcBorders>
              <w:top w:val="single" w:color="auto" w:sz="4" w:space="0"/>
              <w:left w:val="nil"/>
              <w:bottom w:val="single" w:color="auto" w:sz="4" w:space="0"/>
              <w:right w:val="single" w:color="auto" w:sz="4" w:space="0"/>
            </w:tcBorders>
            <w:noWrap w:val="0"/>
            <w:vAlign w:val="center"/>
          </w:tcPr>
          <w:p w14:paraId="30B1F060">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c>
          <w:tcPr>
            <w:tcW w:w="1851" w:type="dxa"/>
            <w:tcBorders>
              <w:top w:val="single" w:color="auto" w:sz="4" w:space="0"/>
              <w:left w:val="nil"/>
              <w:bottom w:val="single" w:color="auto" w:sz="4" w:space="0"/>
              <w:right w:val="single" w:color="auto" w:sz="4" w:space="0"/>
            </w:tcBorders>
            <w:noWrap w:val="0"/>
            <w:vAlign w:val="center"/>
          </w:tcPr>
          <w:p w14:paraId="6A062D63">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r>
      <w:tr w14:paraId="580F0236">
        <w:tblPrEx>
          <w:tblCellMar>
            <w:top w:w="0" w:type="dxa"/>
            <w:left w:w="108" w:type="dxa"/>
            <w:bottom w:w="0" w:type="dxa"/>
            <w:right w:w="108" w:type="dxa"/>
          </w:tblCellMar>
        </w:tblPrEx>
        <w:trPr>
          <w:trHeight w:val="689" w:hRule="atLeast"/>
          <w:jc w:val="center"/>
        </w:trPr>
        <w:tc>
          <w:tcPr>
            <w:tcW w:w="7534" w:type="dxa"/>
            <w:gridSpan w:val="5"/>
            <w:tcBorders>
              <w:top w:val="single" w:color="auto" w:sz="4" w:space="0"/>
              <w:left w:val="single" w:color="auto" w:sz="4" w:space="0"/>
              <w:bottom w:val="single" w:color="auto" w:sz="4" w:space="0"/>
              <w:right w:val="single" w:color="auto" w:sz="4" w:space="0"/>
            </w:tcBorders>
            <w:noWrap w:val="0"/>
            <w:vAlign w:val="center"/>
          </w:tcPr>
          <w:p w14:paraId="3F6E0D52">
            <w:pPr>
              <w:keepNext w:val="0"/>
              <w:keepLines w:val="0"/>
              <w:widowControl/>
              <w:suppressLineNumbers w:val="0"/>
              <w:jc w:val="center"/>
              <w:rPr>
                <w:rFonts w:hint="default" w:ascii="宋体" w:hAnsi="宋体" w:eastAsia="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合计</w:t>
            </w:r>
          </w:p>
        </w:tc>
        <w:tc>
          <w:tcPr>
            <w:tcW w:w="1348" w:type="dxa"/>
            <w:tcBorders>
              <w:top w:val="single" w:color="auto" w:sz="4" w:space="0"/>
              <w:left w:val="nil"/>
              <w:bottom w:val="single" w:color="auto" w:sz="4" w:space="0"/>
              <w:right w:val="single" w:color="auto" w:sz="4" w:space="0"/>
            </w:tcBorders>
            <w:noWrap w:val="0"/>
            <w:vAlign w:val="center"/>
          </w:tcPr>
          <w:p w14:paraId="3BDE528E">
            <w:pPr>
              <w:keepNext w:val="0"/>
              <w:keepLines w:val="0"/>
              <w:widowControl/>
              <w:suppressLineNumbers w:val="0"/>
              <w:jc w:val="center"/>
              <w:rPr>
                <w:rFonts w:hint="eastAsia" w:ascii="宋体" w:hAnsi="宋体" w:cs="宋体"/>
                <w:b/>
                <w:bCs/>
                <w:color w:val="000000"/>
                <w:kern w:val="0"/>
                <w:sz w:val="21"/>
                <w:szCs w:val="21"/>
                <w:highlight w:val="none"/>
                <w:lang w:val="en-US" w:eastAsia="zh-CN" w:bidi="ar"/>
              </w:rPr>
            </w:pPr>
          </w:p>
        </w:tc>
        <w:tc>
          <w:tcPr>
            <w:tcW w:w="1851" w:type="dxa"/>
            <w:tcBorders>
              <w:top w:val="single" w:color="auto" w:sz="4" w:space="0"/>
              <w:left w:val="nil"/>
              <w:bottom w:val="single" w:color="auto" w:sz="4" w:space="0"/>
              <w:right w:val="single" w:color="auto" w:sz="4" w:space="0"/>
            </w:tcBorders>
            <w:noWrap w:val="0"/>
            <w:vAlign w:val="center"/>
          </w:tcPr>
          <w:p w14:paraId="7C094E09">
            <w:pPr>
              <w:keepNext w:val="0"/>
              <w:keepLines w:val="0"/>
              <w:widowControl/>
              <w:suppressLineNumbers w:val="0"/>
              <w:jc w:val="center"/>
              <w:rPr>
                <w:rFonts w:hint="eastAsia" w:ascii="宋体" w:hAnsi="宋体" w:eastAsia="宋体" w:cs="宋体"/>
                <w:b/>
                <w:bCs/>
                <w:color w:val="000000"/>
                <w:kern w:val="0"/>
                <w:sz w:val="21"/>
                <w:szCs w:val="21"/>
                <w:highlight w:val="none"/>
                <w:lang w:val="en-US" w:eastAsia="zh-CN" w:bidi="ar"/>
              </w:rPr>
            </w:pPr>
          </w:p>
        </w:tc>
      </w:tr>
    </w:tbl>
    <w:p w14:paraId="371FF427">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32D95FB6">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10F26C47">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2F6687E9">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3C9352AB">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0D429145">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630E6B7D">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78534A23">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1A3778FA">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7D176E60">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6CA11AFF">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1B3B5D29">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159B49F4">
      <w:pPr>
        <w:spacing w:line="360" w:lineRule="auto"/>
        <w:jc w:val="center"/>
        <w:outlineLvl w:val="2"/>
        <w:rPr>
          <w:rFonts w:hint="eastAsia"/>
          <w:b w:val="0"/>
          <w:bCs/>
          <w:sz w:val="21"/>
          <w:szCs w:val="21"/>
          <w:highlight w:val="none"/>
        </w:rPr>
      </w:pPr>
      <w:bookmarkStart w:id="72" w:name="_Toc12669"/>
      <w:bookmarkStart w:id="73" w:name="_Toc14915"/>
      <w:bookmarkStart w:id="74" w:name="_Toc28015"/>
      <w:r>
        <w:rPr>
          <w:rFonts w:hint="eastAsia"/>
          <w:b w:val="0"/>
          <w:bCs/>
          <w:sz w:val="21"/>
          <w:szCs w:val="21"/>
          <w:highlight w:val="none"/>
          <w:lang w:val="en-US" w:eastAsia="zh-CN"/>
        </w:rPr>
        <w:t xml:space="preserve">                                        </w:t>
      </w:r>
      <w:r>
        <w:rPr>
          <w:rFonts w:hint="eastAsia"/>
          <w:b w:val="0"/>
          <w:bCs/>
          <w:sz w:val="21"/>
          <w:szCs w:val="21"/>
          <w:highlight w:val="none"/>
        </w:rPr>
        <w:t xml:space="preserve">供应商： </w:t>
      </w:r>
      <w:r>
        <w:rPr>
          <w:rFonts w:hint="eastAsia"/>
          <w:b w:val="0"/>
          <w:bCs/>
          <w:sz w:val="21"/>
          <w:szCs w:val="21"/>
          <w:highlight w:val="none"/>
          <w:u w:val="single"/>
          <w:lang w:val="en-US" w:eastAsia="zh-CN"/>
        </w:rPr>
        <w:t xml:space="preserve">              </w:t>
      </w:r>
      <w:r>
        <w:rPr>
          <w:rFonts w:hint="eastAsia"/>
          <w:b w:val="0"/>
          <w:bCs/>
          <w:sz w:val="21"/>
          <w:szCs w:val="21"/>
          <w:highlight w:val="none"/>
          <w:u w:val="single"/>
        </w:rPr>
        <w:tab/>
      </w:r>
      <w:r>
        <w:rPr>
          <w:rFonts w:hint="eastAsia"/>
          <w:b w:val="0"/>
          <w:bCs/>
          <w:sz w:val="21"/>
          <w:szCs w:val="21"/>
          <w:highlight w:val="none"/>
        </w:rPr>
        <w:t>（盖章）</w:t>
      </w:r>
    </w:p>
    <w:p w14:paraId="68FD1295">
      <w:pPr>
        <w:spacing w:line="360" w:lineRule="auto"/>
        <w:jc w:val="center"/>
        <w:outlineLvl w:val="2"/>
        <w:rPr>
          <w:rFonts w:hint="eastAsia"/>
          <w:b w:val="0"/>
          <w:bCs/>
          <w:sz w:val="21"/>
          <w:szCs w:val="21"/>
          <w:highlight w:val="none"/>
        </w:rPr>
      </w:pPr>
      <w:r>
        <w:rPr>
          <w:rFonts w:hint="eastAsia"/>
          <w:b w:val="0"/>
          <w:bCs/>
          <w:sz w:val="21"/>
          <w:szCs w:val="21"/>
          <w:highlight w:val="none"/>
          <w:lang w:val="en-US" w:eastAsia="zh-CN"/>
        </w:rPr>
        <w:t xml:space="preserve">                                        </w:t>
      </w:r>
      <w:r>
        <w:rPr>
          <w:rFonts w:hint="eastAsia"/>
          <w:b w:val="0"/>
          <w:bCs/>
          <w:sz w:val="21"/>
          <w:szCs w:val="21"/>
          <w:highlight w:val="none"/>
        </w:rPr>
        <w:t>委托代理人：</w:t>
      </w:r>
      <w:r>
        <w:rPr>
          <w:rFonts w:hint="eastAsia"/>
          <w:b w:val="0"/>
          <w:bCs/>
          <w:sz w:val="21"/>
          <w:szCs w:val="21"/>
          <w:highlight w:val="none"/>
          <w:u w:val="single"/>
          <w:lang w:val="en-US" w:eastAsia="zh-CN"/>
        </w:rPr>
        <w:t xml:space="preserve">         </w:t>
      </w:r>
      <w:r>
        <w:rPr>
          <w:rFonts w:hint="eastAsia"/>
          <w:b w:val="0"/>
          <w:bCs/>
          <w:sz w:val="21"/>
          <w:szCs w:val="21"/>
          <w:highlight w:val="none"/>
          <w:u w:val="single"/>
        </w:rPr>
        <w:t xml:space="preserve"> </w:t>
      </w:r>
      <w:r>
        <w:rPr>
          <w:rFonts w:hint="eastAsia"/>
          <w:b w:val="0"/>
          <w:bCs/>
          <w:sz w:val="21"/>
          <w:szCs w:val="21"/>
          <w:highlight w:val="none"/>
          <w:u w:val="single"/>
        </w:rPr>
        <w:tab/>
      </w:r>
      <w:r>
        <w:rPr>
          <w:rFonts w:hint="eastAsia"/>
          <w:b w:val="0"/>
          <w:bCs/>
          <w:sz w:val="21"/>
          <w:szCs w:val="21"/>
          <w:highlight w:val="none"/>
        </w:rPr>
        <w:t>（签</w:t>
      </w:r>
      <w:r>
        <w:rPr>
          <w:rFonts w:hint="eastAsia"/>
          <w:b w:val="0"/>
          <w:bCs/>
          <w:sz w:val="21"/>
          <w:szCs w:val="21"/>
          <w:highlight w:val="none"/>
          <w:lang w:val="en-US" w:eastAsia="zh-CN"/>
        </w:rPr>
        <w:t>章</w:t>
      </w:r>
      <w:r>
        <w:rPr>
          <w:rFonts w:hint="eastAsia"/>
          <w:b w:val="0"/>
          <w:bCs/>
          <w:sz w:val="21"/>
          <w:szCs w:val="21"/>
          <w:highlight w:val="none"/>
        </w:rPr>
        <w:t>）</w:t>
      </w:r>
    </w:p>
    <w:p w14:paraId="7DE0D0E5">
      <w:pPr>
        <w:pStyle w:val="3"/>
        <w:jc w:val="right"/>
        <w:rPr>
          <w:rFonts w:hint="eastAsia"/>
          <w:b w:val="0"/>
          <w:bCs/>
          <w:sz w:val="21"/>
          <w:szCs w:val="21"/>
          <w:highlight w:val="none"/>
        </w:rPr>
      </w:pPr>
      <w:r>
        <w:rPr>
          <w:rFonts w:hint="eastAsia"/>
          <w:b w:val="0"/>
          <w:bCs/>
          <w:sz w:val="21"/>
          <w:szCs w:val="21"/>
          <w:highlight w:val="none"/>
        </w:rPr>
        <w:t xml:space="preserve"> </w:t>
      </w:r>
      <w:r>
        <w:rPr>
          <w:rFonts w:hint="eastAsia"/>
          <w:b w:val="0"/>
          <w:bCs/>
          <w:sz w:val="21"/>
          <w:szCs w:val="21"/>
          <w:highlight w:val="none"/>
          <w:lang w:val="en-US" w:eastAsia="zh-CN"/>
        </w:rPr>
        <w:t>日期：</w:t>
      </w:r>
      <w:r>
        <w:rPr>
          <w:rFonts w:hint="eastAsia"/>
          <w:b w:val="0"/>
          <w:bCs/>
          <w:sz w:val="21"/>
          <w:szCs w:val="21"/>
          <w:highlight w:val="none"/>
        </w:rPr>
        <w:t xml:space="preserve">年 </w:t>
      </w:r>
      <w:r>
        <w:rPr>
          <w:rFonts w:hint="eastAsia"/>
          <w:b w:val="0"/>
          <w:bCs/>
          <w:sz w:val="21"/>
          <w:szCs w:val="21"/>
          <w:highlight w:val="none"/>
          <w:lang w:val="en-US" w:eastAsia="zh-CN"/>
        </w:rPr>
        <w:t xml:space="preserve"> </w:t>
      </w:r>
      <w:r>
        <w:rPr>
          <w:rFonts w:hint="eastAsia"/>
          <w:b w:val="0"/>
          <w:bCs/>
          <w:sz w:val="21"/>
          <w:szCs w:val="21"/>
          <w:highlight w:val="none"/>
        </w:rPr>
        <w:tab/>
      </w:r>
      <w:r>
        <w:rPr>
          <w:rFonts w:hint="eastAsia"/>
          <w:b w:val="0"/>
          <w:bCs/>
          <w:sz w:val="21"/>
          <w:szCs w:val="21"/>
          <w:highlight w:val="none"/>
        </w:rPr>
        <w:t xml:space="preserve">月 </w:t>
      </w:r>
      <w:r>
        <w:rPr>
          <w:rFonts w:hint="eastAsia"/>
          <w:b w:val="0"/>
          <w:bCs/>
          <w:sz w:val="21"/>
          <w:szCs w:val="21"/>
          <w:highlight w:val="none"/>
        </w:rPr>
        <w:tab/>
      </w:r>
      <w:r>
        <w:rPr>
          <w:rFonts w:hint="eastAsia"/>
          <w:b w:val="0"/>
          <w:bCs/>
          <w:sz w:val="21"/>
          <w:szCs w:val="21"/>
          <w:highlight w:val="none"/>
          <w:lang w:val="en-US" w:eastAsia="zh-CN"/>
        </w:rPr>
        <w:t xml:space="preserve"> </w:t>
      </w:r>
      <w:r>
        <w:rPr>
          <w:rFonts w:hint="eastAsia"/>
          <w:b w:val="0"/>
          <w:bCs/>
          <w:sz w:val="21"/>
          <w:szCs w:val="21"/>
          <w:highlight w:val="none"/>
        </w:rPr>
        <w:t>日</w:t>
      </w:r>
    </w:p>
    <w:p w14:paraId="6EDABBEE">
      <w:pPr>
        <w:rPr>
          <w:rFonts w:hint="eastAsia"/>
          <w:b w:val="0"/>
          <w:bCs/>
          <w:sz w:val="21"/>
          <w:szCs w:val="21"/>
          <w:highlight w:val="none"/>
        </w:rPr>
      </w:pPr>
      <w:r>
        <w:rPr>
          <w:rFonts w:hint="eastAsia"/>
          <w:b w:val="0"/>
          <w:bCs/>
          <w:sz w:val="21"/>
          <w:szCs w:val="21"/>
          <w:highlight w:val="none"/>
        </w:rPr>
        <w:br w:type="page"/>
      </w:r>
    </w:p>
    <w:p w14:paraId="60FC869E">
      <w:pPr>
        <w:pStyle w:val="3"/>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七、技术文件</w:t>
      </w:r>
      <w:bookmarkEnd w:id="72"/>
      <w:bookmarkEnd w:id="73"/>
      <w:bookmarkEnd w:id="74"/>
    </w:p>
    <w:p w14:paraId="651E1E05">
      <w:pPr>
        <w:bidi w:val="0"/>
        <w:rPr>
          <w:rFonts w:hint="eastAsia" w:ascii="宋体" w:hAnsi="宋体" w:eastAsia="宋体" w:cs="宋体"/>
          <w:color w:val="auto"/>
          <w:highlight w:val="none"/>
        </w:rPr>
      </w:pPr>
    </w:p>
    <w:p w14:paraId="271BC399">
      <w:pPr>
        <w:bidi w:val="0"/>
        <w:rPr>
          <w:rFonts w:hint="eastAsia" w:ascii="宋体" w:hAnsi="宋体" w:eastAsia="宋体" w:cs="宋体"/>
          <w:color w:val="auto"/>
          <w:highlight w:val="none"/>
        </w:rPr>
      </w:pPr>
    </w:p>
    <w:p w14:paraId="27503343">
      <w:pPr>
        <w:bidi w:val="0"/>
        <w:rPr>
          <w:rFonts w:hint="eastAsia" w:ascii="宋体" w:hAnsi="宋体" w:eastAsia="宋体" w:cs="宋体"/>
          <w:color w:val="auto"/>
          <w:highlight w:val="none"/>
        </w:rPr>
      </w:pPr>
    </w:p>
    <w:p w14:paraId="62A52C09">
      <w:pPr>
        <w:bidi w:val="0"/>
        <w:rPr>
          <w:rFonts w:hint="eastAsia" w:ascii="宋体" w:hAnsi="宋体" w:eastAsia="宋体" w:cs="宋体"/>
          <w:color w:val="auto"/>
          <w:highlight w:val="none"/>
        </w:rPr>
      </w:pPr>
    </w:p>
    <w:p w14:paraId="68F7C060">
      <w:pPr>
        <w:bidi w:val="0"/>
        <w:rPr>
          <w:rFonts w:hint="eastAsia" w:ascii="宋体" w:hAnsi="宋体" w:eastAsia="宋体" w:cs="宋体"/>
          <w:color w:val="auto"/>
          <w:highlight w:val="none"/>
        </w:rPr>
      </w:pPr>
    </w:p>
    <w:p w14:paraId="3A382791">
      <w:pPr>
        <w:bidi w:val="0"/>
        <w:rPr>
          <w:rFonts w:hint="eastAsia" w:ascii="宋体" w:hAnsi="宋体" w:eastAsia="宋体" w:cs="宋体"/>
          <w:color w:val="auto"/>
          <w:highlight w:val="none"/>
        </w:rPr>
      </w:pPr>
    </w:p>
    <w:p w14:paraId="7916920B">
      <w:pPr>
        <w:bidi w:val="0"/>
        <w:rPr>
          <w:rFonts w:hint="eastAsia" w:ascii="宋体" w:hAnsi="宋体" w:eastAsia="宋体" w:cs="宋体"/>
          <w:color w:val="auto"/>
          <w:highlight w:val="none"/>
        </w:rPr>
      </w:pPr>
    </w:p>
    <w:p w14:paraId="50F9BC02">
      <w:pPr>
        <w:bidi w:val="0"/>
        <w:rPr>
          <w:rFonts w:hint="eastAsia" w:ascii="宋体" w:hAnsi="宋体" w:eastAsia="宋体" w:cs="宋体"/>
          <w:color w:val="auto"/>
          <w:highlight w:val="none"/>
        </w:rPr>
      </w:pPr>
    </w:p>
    <w:p w14:paraId="702274E3">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446C9057">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0E1B656B">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4337C513">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5A97FFB3">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5A88E1EB">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737B8ED2">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551729C2">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55485DA0">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2B3F8352">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4576B25C">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3BF74EF8">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524F017D">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1DC8C3AE">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1D3FED65">
      <w:pPr>
        <w:keepNext w:val="0"/>
        <w:keepLines w:val="0"/>
        <w:widowControl/>
        <w:suppressLineNumbers w:val="0"/>
        <w:spacing w:line="480" w:lineRule="auto"/>
        <w:jc w:val="center"/>
        <w:rPr>
          <w:rFonts w:hint="eastAsia" w:ascii="宋体" w:hAnsi="宋体" w:eastAsia="宋体" w:cs="宋体"/>
          <w:b/>
          <w:bCs/>
          <w:color w:val="000000"/>
          <w:kern w:val="0"/>
          <w:sz w:val="28"/>
          <w:szCs w:val="28"/>
          <w:highlight w:val="none"/>
          <w:lang w:val="en-US" w:eastAsia="zh-CN" w:bidi="ar"/>
        </w:rPr>
      </w:pPr>
    </w:p>
    <w:p w14:paraId="515D1279">
      <w:pPr>
        <w:keepNext w:val="0"/>
        <w:keepLines w:val="0"/>
        <w:widowControl/>
        <w:suppressLineNumbers w:val="0"/>
        <w:spacing w:line="480" w:lineRule="auto"/>
        <w:jc w:val="both"/>
        <w:rPr>
          <w:rFonts w:hint="eastAsia" w:ascii="宋体" w:hAnsi="宋体" w:eastAsia="宋体" w:cs="宋体"/>
          <w:b/>
          <w:bCs/>
          <w:color w:val="000000"/>
          <w:kern w:val="0"/>
          <w:sz w:val="28"/>
          <w:szCs w:val="28"/>
          <w:highlight w:val="none"/>
          <w:lang w:val="en-US" w:eastAsia="zh-CN" w:bidi="ar"/>
        </w:rPr>
      </w:pPr>
    </w:p>
    <w:p w14:paraId="007F22C5">
      <w:pPr>
        <w:keepNext w:val="0"/>
        <w:keepLines w:val="0"/>
        <w:widowControl/>
        <w:suppressLineNumbers w:val="0"/>
        <w:spacing w:line="480" w:lineRule="auto"/>
        <w:jc w:val="both"/>
        <w:rPr>
          <w:rFonts w:hint="eastAsia" w:ascii="宋体" w:hAnsi="宋体" w:eastAsia="宋体" w:cs="宋体"/>
          <w:b/>
          <w:bCs/>
          <w:color w:val="000000"/>
          <w:kern w:val="0"/>
          <w:sz w:val="28"/>
          <w:szCs w:val="28"/>
          <w:highlight w:val="none"/>
          <w:lang w:val="en-US" w:eastAsia="zh-CN" w:bidi="ar"/>
        </w:rPr>
      </w:pPr>
    </w:p>
    <w:p w14:paraId="475363B9">
      <w:pPr>
        <w:keepNext w:val="0"/>
        <w:keepLines w:val="0"/>
        <w:widowControl/>
        <w:suppressLineNumbers w:val="0"/>
        <w:spacing w:line="480" w:lineRule="auto"/>
        <w:jc w:val="both"/>
        <w:rPr>
          <w:rFonts w:hint="eastAsia" w:ascii="宋体" w:hAnsi="宋体" w:eastAsia="宋体" w:cs="宋体"/>
          <w:b/>
          <w:bCs/>
          <w:color w:val="000000"/>
          <w:kern w:val="0"/>
          <w:sz w:val="28"/>
          <w:szCs w:val="28"/>
          <w:highlight w:val="none"/>
          <w:lang w:val="en-US" w:eastAsia="zh-CN" w:bidi="ar"/>
        </w:rPr>
      </w:pPr>
    </w:p>
    <w:p w14:paraId="3F8E8708">
      <w:pPr>
        <w:pStyle w:val="3"/>
        <w:jc w:val="center"/>
        <w:rPr>
          <w:rFonts w:hint="eastAsia" w:ascii="宋体" w:hAnsi="宋体" w:eastAsia="宋体" w:cs="宋体"/>
          <w:b/>
          <w:bCs/>
          <w:color w:val="000000"/>
          <w:kern w:val="0"/>
          <w:sz w:val="24"/>
          <w:szCs w:val="24"/>
          <w:highlight w:val="none"/>
          <w:lang w:val="en-US" w:eastAsia="zh-CN" w:bidi="ar"/>
        </w:rPr>
      </w:pPr>
      <w:r>
        <w:rPr>
          <w:rFonts w:hint="eastAsia" w:cs="宋体"/>
          <w:b/>
          <w:bCs/>
          <w:color w:val="000000"/>
          <w:kern w:val="0"/>
          <w:sz w:val="24"/>
          <w:szCs w:val="24"/>
          <w:highlight w:val="none"/>
          <w:lang w:val="en-US" w:eastAsia="zh-CN" w:bidi="ar"/>
        </w:rPr>
        <w:t>八、</w:t>
      </w:r>
      <w:r>
        <w:rPr>
          <w:rFonts w:hint="eastAsia" w:ascii="宋体" w:hAnsi="宋体" w:eastAsia="宋体" w:cs="宋体"/>
          <w:b/>
          <w:bCs/>
          <w:color w:val="000000"/>
          <w:kern w:val="0"/>
          <w:sz w:val="24"/>
          <w:szCs w:val="24"/>
          <w:highlight w:val="none"/>
          <w:lang w:val="en-US" w:eastAsia="zh-CN" w:bidi="ar"/>
        </w:rPr>
        <w:t>技术偏离表</w:t>
      </w:r>
    </w:p>
    <w:p w14:paraId="3BD5BA53">
      <w:pPr>
        <w:numPr>
          <w:ilvl w:val="0"/>
          <w:numId w:val="0"/>
        </w:numPr>
        <w:rPr>
          <w:rFonts w:hint="eastAsia"/>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814"/>
        <w:gridCol w:w="1545"/>
        <w:gridCol w:w="2050"/>
        <w:gridCol w:w="1404"/>
        <w:gridCol w:w="1395"/>
      </w:tblGrid>
      <w:tr w14:paraId="31A2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38" w:type="dxa"/>
            <w:noWrap w:val="0"/>
            <w:vAlign w:val="center"/>
          </w:tcPr>
          <w:p w14:paraId="2EFD3C0E">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14" w:type="dxa"/>
            <w:noWrap w:val="0"/>
            <w:vAlign w:val="center"/>
          </w:tcPr>
          <w:p w14:paraId="72AEE46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货物</w:t>
            </w:r>
            <w:r>
              <w:rPr>
                <w:rFonts w:hint="eastAsia" w:ascii="宋体" w:hAnsi="宋体" w:eastAsia="宋体" w:cs="宋体"/>
                <w:b/>
                <w:bCs/>
                <w:color w:val="auto"/>
                <w:sz w:val="21"/>
                <w:szCs w:val="21"/>
                <w:highlight w:val="none"/>
              </w:rPr>
              <w:t>名称</w:t>
            </w:r>
          </w:p>
        </w:tc>
        <w:tc>
          <w:tcPr>
            <w:tcW w:w="1545" w:type="dxa"/>
            <w:noWrap w:val="0"/>
            <w:vAlign w:val="center"/>
          </w:tcPr>
          <w:p w14:paraId="085092CD">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招标要求</w:t>
            </w:r>
          </w:p>
        </w:tc>
        <w:tc>
          <w:tcPr>
            <w:tcW w:w="2050" w:type="dxa"/>
            <w:noWrap w:val="0"/>
            <w:vAlign w:val="center"/>
          </w:tcPr>
          <w:p w14:paraId="6AD75FD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投标响应</w:t>
            </w:r>
          </w:p>
        </w:tc>
        <w:tc>
          <w:tcPr>
            <w:tcW w:w="1404" w:type="dxa"/>
            <w:noWrap w:val="0"/>
            <w:vAlign w:val="center"/>
          </w:tcPr>
          <w:p w14:paraId="172DFD24">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偏离情况</w:t>
            </w:r>
          </w:p>
        </w:tc>
        <w:tc>
          <w:tcPr>
            <w:tcW w:w="1395" w:type="dxa"/>
            <w:noWrap w:val="0"/>
            <w:vAlign w:val="center"/>
          </w:tcPr>
          <w:p w14:paraId="37440C8F">
            <w:pPr>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备注</w:t>
            </w:r>
          </w:p>
        </w:tc>
      </w:tr>
      <w:tr w14:paraId="3BC9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38" w:type="dxa"/>
            <w:noWrap w:val="0"/>
            <w:vAlign w:val="top"/>
          </w:tcPr>
          <w:p w14:paraId="2F3CCCE8">
            <w:pPr>
              <w:ind w:firstLine="420" w:firstLineChars="200"/>
              <w:rPr>
                <w:rFonts w:hint="eastAsia" w:ascii="宋体" w:hAnsi="宋体" w:eastAsia="宋体" w:cs="宋体"/>
                <w:color w:val="auto"/>
                <w:sz w:val="21"/>
                <w:szCs w:val="21"/>
                <w:highlight w:val="none"/>
              </w:rPr>
            </w:pPr>
          </w:p>
        </w:tc>
        <w:tc>
          <w:tcPr>
            <w:tcW w:w="1814" w:type="dxa"/>
            <w:noWrap w:val="0"/>
            <w:vAlign w:val="top"/>
          </w:tcPr>
          <w:p w14:paraId="62A660B5">
            <w:pPr>
              <w:ind w:firstLine="420" w:firstLineChars="200"/>
              <w:rPr>
                <w:rFonts w:hint="eastAsia" w:ascii="宋体" w:hAnsi="宋体" w:eastAsia="宋体" w:cs="宋体"/>
                <w:color w:val="auto"/>
                <w:sz w:val="21"/>
                <w:szCs w:val="21"/>
                <w:highlight w:val="none"/>
              </w:rPr>
            </w:pPr>
          </w:p>
        </w:tc>
        <w:tc>
          <w:tcPr>
            <w:tcW w:w="1545" w:type="dxa"/>
            <w:noWrap w:val="0"/>
            <w:vAlign w:val="top"/>
          </w:tcPr>
          <w:p w14:paraId="3FD9C595">
            <w:pPr>
              <w:ind w:firstLine="420" w:firstLineChars="200"/>
              <w:rPr>
                <w:rFonts w:hint="eastAsia" w:ascii="宋体" w:hAnsi="宋体" w:eastAsia="宋体" w:cs="宋体"/>
                <w:color w:val="auto"/>
                <w:sz w:val="21"/>
                <w:szCs w:val="21"/>
                <w:highlight w:val="none"/>
              </w:rPr>
            </w:pPr>
          </w:p>
        </w:tc>
        <w:tc>
          <w:tcPr>
            <w:tcW w:w="2050" w:type="dxa"/>
            <w:noWrap w:val="0"/>
            <w:vAlign w:val="top"/>
          </w:tcPr>
          <w:p w14:paraId="792AF88F">
            <w:pPr>
              <w:ind w:firstLine="420" w:firstLineChars="200"/>
              <w:rPr>
                <w:rFonts w:hint="eastAsia" w:ascii="宋体" w:hAnsi="宋体" w:eastAsia="宋体" w:cs="宋体"/>
                <w:color w:val="auto"/>
                <w:sz w:val="21"/>
                <w:szCs w:val="21"/>
                <w:highlight w:val="none"/>
              </w:rPr>
            </w:pPr>
          </w:p>
        </w:tc>
        <w:tc>
          <w:tcPr>
            <w:tcW w:w="1404" w:type="dxa"/>
            <w:noWrap w:val="0"/>
            <w:vAlign w:val="top"/>
          </w:tcPr>
          <w:p w14:paraId="407D241D">
            <w:pPr>
              <w:ind w:firstLine="420" w:firstLineChars="200"/>
              <w:rPr>
                <w:rFonts w:hint="eastAsia" w:ascii="宋体" w:hAnsi="宋体" w:eastAsia="宋体" w:cs="宋体"/>
                <w:color w:val="auto"/>
                <w:sz w:val="21"/>
                <w:szCs w:val="21"/>
                <w:highlight w:val="none"/>
              </w:rPr>
            </w:pPr>
          </w:p>
        </w:tc>
        <w:tc>
          <w:tcPr>
            <w:tcW w:w="1395" w:type="dxa"/>
            <w:noWrap w:val="0"/>
            <w:vAlign w:val="top"/>
          </w:tcPr>
          <w:p w14:paraId="26DB8CBA">
            <w:pPr>
              <w:ind w:firstLine="420" w:firstLineChars="200"/>
              <w:rPr>
                <w:rFonts w:hint="eastAsia" w:ascii="宋体" w:hAnsi="宋体" w:eastAsia="宋体" w:cs="宋体"/>
                <w:color w:val="auto"/>
                <w:sz w:val="21"/>
                <w:szCs w:val="21"/>
                <w:highlight w:val="none"/>
              </w:rPr>
            </w:pPr>
          </w:p>
        </w:tc>
      </w:tr>
      <w:tr w14:paraId="7C82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38" w:type="dxa"/>
            <w:noWrap w:val="0"/>
            <w:vAlign w:val="top"/>
          </w:tcPr>
          <w:p w14:paraId="6D18AA33">
            <w:pPr>
              <w:ind w:firstLine="420" w:firstLineChars="200"/>
              <w:rPr>
                <w:rFonts w:hint="eastAsia" w:ascii="宋体" w:hAnsi="宋体" w:eastAsia="宋体" w:cs="宋体"/>
                <w:color w:val="auto"/>
                <w:sz w:val="21"/>
                <w:szCs w:val="21"/>
                <w:highlight w:val="none"/>
              </w:rPr>
            </w:pPr>
          </w:p>
        </w:tc>
        <w:tc>
          <w:tcPr>
            <w:tcW w:w="1814" w:type="dxa"/>
            <w:noWrap w:val="0"/>
            <w:vAlign w:val="top"/>
          </w:tcPr>
          <w:p w14:paraId="7ACE276E">
            <w:pPr>
              <w:ind w:firstLine="420" w:firstLineChars="200"/>
              <w:rPr>
                <w:rFonts w:hint="eastAsia" w:ascii="宋体" w:hAnsi="宋体" w:eastAsia="宋体" w:cs="宋体"/>
                <w:color w:val="auto"/>
                <w:sz w:val="21"/>
                <w:szCs w:val="21"/>
                <w:highlight w:val="none"/>
              </w:rPr>
            </w:pPr>
          </w:p>
        </w:tc>
        <w:tc>
          <w:tcPr>
            <w:tcW w:w="1545" w:type="dxa"/>
            <w:noWrap w:val="0"/>
            <w:vAlign w:val="top"/>
          </w:tcPr>
          <w:p w14:paraId="684B2F61">
            <w:pPr>
              <w:ind w:firstLine="420" w:firstLineChars="200"/>
              <w:rPr>
                <w:rFonts w:hint="eastAsia" w:ascii="宋体" w:hAnsi="宋体" w:eastAsia="宋体" w:cs="宋体"/>
                <w:color w:val="auto"/>
                <w:sz w:val="21"/>
                <w:szCs w:val="21"/>
                <w:highlight w:val="none"/>
              </w:rPr>
            </w:pPr>
          </w:p>
        </w:tc>
        <w:tc>
          <w:tcPr>
            <w:tcW w:w="2050" w:type="dxa"/>
            <w:noWrap w:val="0"/>
            <w:vAlign w:val="top"/>
          </w:tcPr>
          <w:p w14:paraId="59630DCB">
            <w:pPr>
              <w:ind w:firstLine="420" w:firstLineChars="200"/>
              <w:rPr>
                <w:rFonts w:hint="eastAsia" w:ascii="宋体" w:hAnsi="宋体" w:eastAsia="宋体" w:cs="宋体"/>
                <w:color w:val="auto"/>
                <w:sz w:val="21"/>
                <w:szCs w:val="21"/>
                <w:highlight w:val="none"/>
              </w:rPr>
            </w:pPr>
          </w:p>
        </w:tc>
        <w:tc>
          <w:tcPr>
            <w:tcW w:w="1404" w:type="dxa"/>
            <w:noWrap w:val="0"/>
            <w:vAlign w:val="top"/>
          </w:tcPr>
          <w:p w14:paraId="5C9B350D">
            <w:pPr>
              <w:ind w:firstLine="420" w:firstLineChars="200"/>
              <w:rPr>
                <w:rFonts w:hint="eastAsia" w:ascii="宋体" w:hAnsi="宋体" w:eastAsia="宋体" w:cs="宋体"/>
                <w:color w:val="auto"/>
                <w:sz w:val="21"/>
                <w:szCs w:val="21"/>
                <w:highlight w:val="none"/>
              </w:rPr>
            </w:pPr>
          </w:p>
        </w:tc>
        <w:tc>
          <w:tcPr>
            <w:tcW w:w="1395" w:type="dxa"/>
            <w:noWrap w:val="0"/>
            <w:vAlign w:val="top"/>
          </w:tcPr>
          <w:p w14:paraId="1C6D1E34">
            <w:pPr>
              <w:ind w:firstLine="420" w:firstLineChars="200"/>
              <w:rPr>
                <w:rFonts w:hint="eastAsia" w:ascii="宋体" w:hAnsi="宋体" w:eastAsia="宋体" w:cs="宋体"/>
                <w:color w:val="auto"/>
                <w:sz w:val="21"/>
                <w:szCs w:val="21"/>
                <w:highlight w:val="none"/>
              </w:rPr>
            </w:pPr>
          </w:p>
        </w:tc>
      </w:tr>
      <w:tr w14:paraId="20BB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38" w:type="dxa"/>
            <w:noWrap w:val="0"/>
            <w:vAlign w:val="top"/>
          </w:tcPr>
          <w:p w14:paraId="12034D26">
            <w:pPr>
              <w:ind w:firstLine="420" w:firstLineChars="200"/>
              <w:rPr>
                <w:rFonts w:hint="eastAsia" w:ascii="宋体" w:hAnsi="宋体" w:eastAsia="宋体" w:cs="宋体"/>
                <w:color w:val="auto"/>
                <w:sz w:val="21"/>
                <w:szCs w:val="21"/>
                <w:highlight w:val="none"/>
              </w:rPr>
            </w:pPr>
          </w:p>
        </w:tc>
        <w:tc>
          <w:tcPr>
            <w:tcW w:w="1814" w:type="dxa"/>
            <w:noWrap w:val="0"/>
            <w:vAlign w:val="top"/>
          </w:tcPr>
          <w:p w14:paraId="27C8E8BA">
            <w:pPr>
              <w:ind w:firstLine="420" w:firstLineChars="200"/>
              <w:rPr>
                <w:rFonts w:hint="eastAsia" w:ascii="宋体" w:hAnsi="宋体" w:eastAsia="宋体" w:cs="宋体"/>
                <w:color w:val="auto"/>
                <w:sz w:val="21"/>
                <w:szCs w:val="21"/>
                <w:highlight w:val="none"/>
              </w:rPr>
            </w:pPr>
          </w:p>
        </w:tc>
        <w:tc>
          <w:tcPr>
            <w:tcW w:w="1545" w:type="dxa"/>
            <w:noWrap w:val="0"/>
            <w:vAlign w:val="top"/>
          </w:tcPr>
          <w:p w14:paraId="6C5C99D2">
            <w:pPr>
              <w:ind w:firstLine="420" w:firstLineChars="200"/>
              <w:rPr>
                <w:rFonts w:hint="eastAsia" w:ascii="宋体" w:hAnsi="宋体" w:eastAsia="宋体" w:cs="宋体"/>
                <w:color w:val="auto"/>
                <w:sz w:val="21"/>
                <w:szCs w:val="21"/>
                <w:highlight w:val="none"/>
              </w:rPr>
            </w:pPr>
          </w:p>
        </w:tc>
        <w:tc>
          <w:tcPr>
            <w:tcW w:w="2050" w:type="dxa"/>
            <w:noWrap w:val="0"/>
            <w:vAlign w:val="top"/>
          </w:tcPr>
          <w:p w14:paraId="6A00D3B7">
            <w:pPr>
              <w:ind w:firstLine="420" w:firstLineChars="200"/>
              <w:rPr>
                <w:rFonts w:hint="eastAsia" w:ascii="宋体" w:hAnsi="宋体" w:eastAsia="宋体" w:cs="宋体"/>
                <w:color w:val="auto"/>
                <w:sz w:val="21"/>
                <w:szCs w:val="21"/>
                <w:highlight w:val="none"/>
              </w:rPr>
            </w:pPr>
          </w:p>
        </w:tc>
        <w:tc>
          <w:tcPr>
            <w:tcW w:w="1404" w:type="dxa"/>
            <w:noWrap w:val="0"/>
            <w:vAlign w:val="top"/>
          </w:tcPr>
          <w:p w14:paraId="5DFDA65E">
            <w:pPr>
              <w:ind w:firstLine="420" w:firstLineChars="200"/>
              <w:rPr>
                <w:rFonts w:hint="eastAsia" w:ascii="宋体" w:hAnsi="宋体" w:eastAsia="宋体" w:cs="宋体"/>
                <w:color w:val="auto"/>
                <w:sz w:val="21"/>
                <w:szCs w:val="21"/>
                <w:highlight w:val="none"/>
              </w:rPr>
            </w:pPr>
          </w:p>
        </w:tc>
        <w:tc>
          <w:tcPr>
            <w:tcW w:w="1395" w:type="dxa"/>
            <w:noWrap w:val="0"/>
            <w:vAlign w:val="top"/>
          </w:tcPr>
          <w:p w14:paraId="28FB7493">
            <w:pPr>
              <w:ind w:firstLine="420" w:firstLineChars="200"/>
              <w:rPr>
                <w:rFonts w:hint="eastAsia" w:ascii="宋体" w:hAnsi="宋体" w:eastAsia="宋体" w:cs="宋体"/>
                <w:color w:val="auto"/>
                <w:sz w:val="21"/>
                <w:szCs w:val="21"/>
                <w:highlight w:val="none"/>
              </w:rPr>
            </w:pPr>
          </w:p>
        </w:tc>
      </w:tr>
      <w:tr w14:paraId="42BF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8" w:type="dxa"/>
            <w:noWrap w:val="0"/>
            <w:vAlign w:val="top"/>
          </w:tcPr>
          <w:p w14:paraId="750ECE07">
            <w:pPr>
              <w:ind w:firstLine="420" w:firstLineChars="200"/>
              <w:rPr>
                <w:rFonts w:hint="eastAsia" w:ascii="宋体" w:hAnsi="宋体" w:eastAsia="宋体" w:cs="宋体"/>
                <w:color w:val="auto"/>
                <w:sz w:val="21"/>
                <w:szCs w:val="21"/>
                <w:highlight w:val="none"/>
              </w:rPr>
            </w:pPr>
          </w:p>
        </w:tc>
        <w:tc>
          <w:tcPr>
            <w:tcW w:w="1814" w:type="dxa"/>
            <w:noWrap w:val="0"/>
            <w:vAlign w:val="top"/>
          </w:tcPr>
          <w:p w14:paraId="337913E7">
            <w:pPr>
              <w:ind w:firstLine="420" w:firstLineChars="200"/>
              <w:rPr>
                <w:rFonts w:hint="eastAsia" w:ascii="宋体" w:hAnsi="宋体" w:eastAsia="宋体" w:cs="宋体"/>
                <w:color w:val="auto"/>
                <w:sz w:val="21"/>
                <w:szCs w:val="21"/>
                <w:highlight w:val="none"/>
              </w:rPr>
            </w:pPr>
          </w:p>
        </w:tc>
        <w:tc>
          <w:tcPr>
            <w:tcW w:w="1545" w:type="dxa"/>
            <w:noWrap w:val="0"/>
            <w:vAlign w:val="top"/>
          </w:tcPr>
          <w:p w14:paraId="23C2215A">
            <w:pPr>
              <w:ind w:firstLine="420" w:firstLineChars="200"/>
              <w:rPr>
                <w:rFonts w:hint="eastAsia" w:ascii="宋体" w:hAnsi="宋体" w:eastAsia="宋体" w:cs="宋体"/>
                <w:color w:val="auto"/>
                <w:sz w:val="21"/>
                <w:szCs w:val="21"/>
                <w:highlight w:val="none"/>
              </w:rPr>
            </w:pPr>
          </w:p>
        </w:tc>
        <w:tc>
          <w:tcPr>
            <w:tcW w:w="2050" w:type="dxa"/>
            <w:noWrap w:val="0"/>
            <w:vAlign w:val="top"/>
          </w:tcPr>
          <w:p w14:paraId="39D2055F">
            <w:pPr>
              <w:ind w:firstLine="420" w:firstLineChars="200"/>
              <w:rPr>
                <w:rFonts w:hint="eastAsia" w:ascii="宋体" w:hAnsi="宋体" w:eastAsia="宋体" w:cs="宋体"/>
                <w:color w:val="auto"/>
                <w:sz w:val="21"/>
                <w:szCs w:val="21"/>
                <w:highlight w:val="none"/>
              </w:rPr>
            </w:pPr>
          </w:p>
        </w:tc>
        <w:tc>
          <w:tcPr>
            <w:tcW w:w="1404" w:type="dxa"/>
            <w:noWrap w:val="0"/>
            <w:vAlign w:val="top"/>
          </w:tcPr>
          <w:p w14:paraId="55CC649A">
            <w:pPr>
              <w:ind w:firstLine="420" w:firstLineChars="200"/>
              <w:rPr>
                <w:rFonts w:hint="eastAsia" w:ascii="宋体" w:hAnsi="宋体" w:eastAsia="宋体" w:cs="宋体"/>
                <w:color w:val="auto"/>
                <w:sz w:val="21"/>
                <w:szCs w:val="21"/>
                <w:highlight w:val="none"/>
              </w:rPr>
            </w:pPr>
          </w:p>
        </w:tc>
        <w:tc>
          <w:tcPr>
            <w:tcW w:w="1395" w:type="dxa"/>
            <w:noWrap w:val="0"/>
            <w:vAlign w:val="top"/>
          </w:tcPr>
          <w:p w14:paraId="3ED6C2E1">
            <w:pPr>
              <w:ind w:firstLine="420" w:firstLineChars="200"/>
              <w:rPr>
                <w:rFonts w:hint="eastAsia" w:ascii="宋体" w:hAnsi="宋体" w:eastAsia="宋体" w:cs="宋体"/>
                <w:color w:val="auto"/>
                <w:sz w:val="21"/>
                <w:szCs w:val="21"/>
                <w:highlight w:val="none"/>
              </w:rPr>
            </w:pPr>
          </w:p>
        </w:tc>
      </w:tr>
      <w:tr w14:paraId="08F7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8" w:type="dxa"/>
            <w:noWrap w:val="0"/>
            <w:vAlign w:val="top"/>
          </w:tcPr>
          <w:p w14:paraId="52B6F2EC">
            <w:pPr>
              <w:ind w:firstLine="420" w:firstLineChars="200"/>
              <w:rPr>
                <w:rFonts w:hint="eastAsia" w:ascii="宋体" w:hAnsi="宋体" w:eastAsia="宋体" w:cs="宋体"/>
                <w:color w:val="auto"/>
                <w:sz w:val="21"/>
                <w:szCs w:val="21"/>
                <w:highlight w:val="none"/>
              </w:rPr>
            </w:pPr>
          </w:p>
        </w:tc>
        <w:tc>
          <w:tcPr>
            <w:tcW w:w="1814" w:type="dxa"/>
            <w:noWrap w:val="0"/>
            <w:vAlign w:val="top"/>
          </w:tcPr>
          <w:p w14:paraId="62049A31">
            <w:pPr>
              <w:ind w:firstLine="420" w:firstLineChars="200"/>
              <w:rPr>
                <w:rFonts w:hint="eastAsia" w:ascii="宋体" w:hAnsi="宋体" w:eastAsia="宋体" w:cs="宋体"/>
                <w:color w:val="auto"/>
                <w:sz w:val="21"/>
                <w:szCs w:val="21"/>
                <w:highlight w:val="none"/>
              </w:rPr>
            </w:pPr>
          </w:p>
        </w:tc>
        <w:tc>
          <w:tcPr>
            <w:tcW w:w="1545" w:type="dxa"/>
            <w:noWrap w:val="0"/>
            <w:vAlign w:val="top"/>
          </w:tcPr>
          <w:p w14:paraId="38E0B376">
            <w:pPr>
              <w:ind w:firstLine="420" w:firstLineChars="200"/>
              <w:rPr>
                <w:rFonts w:hint="eastAsia" w:ascii="宋体" w:hAnsi="宋体" w:eastAsia="宋体" w:cs="宋体"/>
                <w:color w:val="auto"/>
                <w:sz w:val="21"/>
                <w:szCs w:val="21"/>
                <w:highlight w:val="none"/>
              </w:rPr>
            </w:pPr>
          </w:p>
        </w:tc>
        <w:tc>
          <w:tcPr>
            <w:tcW w:w="2050" w:type="dxa"/>
            <w:noWrap w:val="0"/>
            <w:vAlign w:val="top"/>
          </w:tcPr>
          <w:p w14:paraId="6F196638">
            <w:pPr>
              <w:ind w:firstLine="420" w:firstLineChars="200"/>
              <w:rPr>
                <w:rFonts w:hint="eastAsia" w:ascii="宋体" w:hAnsi="宋体" w:eastAsia="宋体" w:cs="宋体"/>
                <w:color w:val="auto"/>
                <w:sz w:val="21"/>
                <w:szCs w:val="21"/>
                <w:highlight w:val="none"/>
              </w:rPr>
            </w:pPr>
          </w:p>
        </w:tc>
        <w:tc>
          <w:tcPr>
            <w:tcW w:w="1404" w:type="dxa"/>
            <w:noWrap w:val="0"/>
            <w:vAlign w:val="top"/>
          </w:tcPr>
          <w:p w14:paraId="192E4EDF">
            <w:pPr>
              <w:ind w:firstLine="420" w:firstLineChars="200"/>
              <w:rPr>
                <w:rFonts w:hint="eastAsia" w:ascii="宋体" w:hAnsi="宋体" w:eastAsia="宋体" w:cs="宋体"/>
                <w:color w:val="auto"/>
                <w:sz w:val="21"/>
                <w:szCs w:val="21"/>
                <w:highlight w:val="none"/>
              </w:rPr>
            </w:pPr>
          </w:p>
        </w:tc>
        <w:tc>
          <w:tcPr>
            <w:tcW w:w="1395" w:type="dxa"/>
            <w:noWrap w:val="0"/>
            <w:vAlign w:val="top"/>
          </w:tcPr>
          <w:p w14:paraId="5ED7F19A">
            <w:pPr>
              <w:ind w:firstLine="420" w:firstLineChars="200"/>
              <w:rPr>
                <w:rFonts w:hint="eastAsia" w:ascii="宋体" w:hAnsi="宋体" w:eastAsia="宋体" w:cs="宋体"/>
                <w:color w:val="auto"/>
                <w:sz w:val="21"/>
                <w:szCs w:val="21"/>
                <w:highlight w:val="none"/>
              </w:rPr>
            </w:pPr>
          </w:p>
        </w:tc>
      </w:tr>
      <w:tr w14:paraId="7C62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8" w:type="dxa"/>
            <w:noWrap w:val="0"/>
            <w:vAlign w:val="top"/>
          </w:tcPr>
          <w:p w14:paraId="44077DC7">
            <w:pPr>
              <w:ind w:firstLine="420" w:firstLineChars="200"/>
              <w:rPr>
                <w:rFonts w:hint="eastAsia" w:ascii="宋体" w:hAnsi="宋体" w:eastAsia="宋体" w:cs="宋体"/>
                <w:color w:val="auto"/>
                <w:sz w:val="21"/>
                <w:szCs w:val="21"/>
                <w:highlight w:val="none"/>
              </w:rPr>
            </w:pPr>
          </w:p>
        </w:tc>
        <w:tc>
          <w:tcPr>
            <w:tcW w:w="1814" w:type="dxa"/>
            <w:noWrap w:val="0"/>
            <w:vAlign w:val="top"/>
          </w:tcPr>
          <w:p w14:paraId="258621E4">
            <w:pPr>
              <w:ind w:firstLine="420" w:firstLineChars="200"/>
              <w:rPr>
                <w:rFonts w:hint="eastAsia" w:ascii="宋体" w:hAnsi="宋体" w:eastAsia="宋体" w:cs="宋体"/>
                <w:color w:val="auto"/>
                <w:sz w:val="21"/>
                <w:szCs w:val="21"/>
                <w:highlight w:val="none"/>
              </w:rPr>
            </w:pPr>
          </w:p>
        </w:tc>
        <w:tc>
          <w:tcPr>
            <w:tcW w:w="1545" w:type="dxa"/>
            <w:noWrap w:val="0"/>
            <w:vAlign w:val="top"/>
          </w:tcPr>
          <w:p w14:paraId="1708EA29">
            <w:pPr>
              <w:ind w:firstLine="420" w:firstLineChars="200"/>
              <w:rPr>
                <w:rFonts w:hint="eastAsia" w:ascii="宋体" w:hAnsi="宋体" w:eastAsia="宋体" w:cs="宋体"/>
                <w:color w:val="auto"/>
                <w:sz w:val="21"/>
                <w:szCs w:val="21"/>
                <w:highlight w:val="none"/>
              </w:rPr>
            </w:pPr>
          </w:p>
        </w:tc>
        <w:tc>
          <w:tcPr>
            <w:tcW w:w="2050" w:type="dxa"/>
            <w:noWrap w:val="0"/>
            <w:vAlign w:val="top"/>
          </w:tcPr>
          <w:p w14:paraId="6C7E8237">
            <w:pPr>
              <w:ind w:firstLine="420" w:firstLineChars="200"/>
              <w:rPr>
                <w:rFonts w:hint="eastAsia" w:ascii="宋体" w:hAnsi="宋体" w:eastAsia="宋体" w:cs="宋体"/>
                <w:color w:val="auto"/>
                <w:sz w:val="21"/>
                <w:szCs w:val="21"/>
                <w:highlight w:val="none"/>
              </w:rPr>
            </w:pPr>
          </w:p>
        </w:tc>
        <w:tc>
          <w:tcPr>
            <w:tcW w:w="1404" w:type="dxa"/>
            <w:noWrap w:val="0"/>
            <w:vAlign w:val="top"/>
          </w:tcPr>
          <w:p w14:paraId="3269C7C1">
            <w:pPr>
              <w:ind w:firstLine="420" w:firstLineChars="200"/>
              <w:rPr>
                <w:rFonts w:hint="eastAsia" w:ascii="宋体" w:hAnsi="宋体" w:eastAsia="宋体" w:cs="宋体"/>
                <w:color w:val="auto"/>
                <w:sz w:val="21"/>
                <w:szCs w:val="21"/>
                <w:highlight w:val="none"/>
              </w:rPr>
            </w:pPr>
          </w:p>
        </w:tc>
        <w:tc>
          <w:tcPr>
            <w:tcW w:w="1395" w:type="dxa"/>
            <w:noWrap w:val="0"/>
            <w:vAlign w:val="top"/>
          </w:tcPr>
          <w:p w14:paraId="53DE2772">
            <w:pPr>
              <w:ind w:firstLine="420" w:firstLineChars="200"/>
              <w:rPr>
                <w:rFonts w:hint="eastAsia" w:ascii="宋体" w:hAnsi="宋体" w:eastAsia="宋体" w:cs="宋体"/>
                <w:color w:val="auto"/>
                <w:sz w:val="21"/>
                <w:szCs w:val="21"/>
                <w:highlight w:val="none"/>
              </w:rPr>
            </w:pPr>
          </w:p>
        </w:tc>
      </w:tr>
      <w:tr w14:paraId="306C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8" w:type="dxa"/>
            <w:noWrap w:val="0"/>
            <w:vAlign w:val="top"/>
          </w:tcPr>
          <w:p w14:paraId="0663BD56">
            <w:pPr>
              <w:ind w:firstLine="420" w:firstLineChars="200"/>
              <w:rPr>
                <w:rFonts w:hint="eastAsia" w:ascii="宋体" w:hAnsi="宋体" w:eastAsia="宋体" w:cs="宋体"/>
                <w:color w:val="auto"/>
                <w:sz w:val="21"/>
                <w:szCs w:val="21"/>
                <w:highlight w:val="none"/>
              </w:rPr>
            </w:pPr>
          </w:p>
        </w:tc>
        <w:tc>
          <w:tcPr>
            <w:tcW w:w="1814" w:type="dxa"/>
            <w:noWrap w:val="0"/>
            <w:vAlign w:val="top"/>
          </w:tcPr>
          <w:p w14:paraId="2571013A">
            <w:pPr>
              <w:ind w:firstLine="420" w:firstLineChars="200"/>
              <w:rPr>
                <w:rFonts w:hint="eastAsia" w:ascii="宋体" w:hAnsi="宋体" w:eastAsia="宋体" w:cs="宋体"/>
                <w:color w:val="auto"/>
                <w:sz w:val="21"/>
                <w:szCs w:val="21"/>
                <w:highlight w:val="none"/>
              </w:rPr>
            </w:pPr>
          </w:p>
        </w:tc>
        <w:tc>
          <w:tcPr>
            <w:tcW w:w="1545" w:type="dxa"/>
            <w:noWrap w:val="0"/>
            <w:vAlign w:val="top"/>
          </w:tcPr>
          <w:p w14:paraId="1E06D8BF">
            <w:pPr>
              <w:ind w:firstLine="420" w:firstLineChars="200"/>
              <w:rPr>
                <w:rFonts w:hint="eastAsia" w:ascii="宋体" w:hAnsi="宋体" w:eastAsia="宋体" w:cs="宋体"/>
                <w:color w:val="auto"/>
                <w:sz w:val="21"/>
                <w:szCs w:val="21"/>
                <w:highlight w:val="none"/>
              </w:rPr>
            </w:pPr>
          </w:p>
        </w:tc>
        <w:tc>
          <w:tcPr>
            <w:tcW w:w="2050" w:type="dxa"/>
            <w:noWrap w:val="0"/>
            <w:vAlign w:val="top"/>
          </w:tcPr>
          <w:p w14:paraId="76BAFDB8">
            <w:pPr>
              <w:ind w:firstLine="420" w:firstLineChars="200"/>
              <w:rPr>
                <w:rFonts w:hint="eastAsia" w:ascii="宋体" w:hAnsi="宋体" w:eastAsia="宋体" w:cs="宋体"/>
                <w:color w:val="auto"/>
                <w:sz w:val="21"/>
                <w:szCs w:val="21"/>
                <w:highlight w:val="none"/>
              </w:rPr>
            </w:pPr>
          </w:p>
        </w:tc>
        <w:tc>
          <w:tcPr>
            <w:tcW w:w="1404" w:type="dxa"/>
            <w:noWrap w:val="0"/>
            <w:vAlign w:val="top"/>
          </w:tcPr>
          <w:p w14:paraId="3E651F03">
            <w:pPr>
              <w:ind w:firstLine="420" w:firstLineChars="200"/>
              <w:rPr>
                <w:rFonts w:hint="eastAsia" w:ascii="宋体" w:hAnsi="宋体" w:eastAsia="宋体" w:cs="宋体"/>
                <w:color w:val="auto"/>
                <w:sz w:val="21"/>
                <w:szCs w:val="21"/>
                <w:highlight w:val="none"/>
              </w:rPr>
            </w:pPr>
          </w:p>
        </w:tc>
        <w:tc>
          <w:tcPr>
            <w:tcW w:w="1395" w:type="dxa"/>
            <w:noWrap w:val="0"/>
            <w:vAlign w:val="top"/>
          </w:tcPr>
          <w:p w14:paraId="1997AF53">
            <w:pPr>
              <w:ind w:firstLine="420" w:firstLineChars="200"/>
              <w:rPr>
                <w:rFonts w:hint="eastAsia" w:ascii="宋体" w:hAnsi="宋体" w:eastAsia="宋体" w:cs="宋体"/>
                <w:color w:val="auto"/>
                <w:sz w:val="21"/>
                <w:szCs w:val="21"/>
                <w:highlight w:val="none"/>
              </w:rPr>
            </w:pPr>
          </w:p>
        </w:tc>
      </w:tr>
      <w:tr w14:paraId="1FAA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8" w:type="dxa"/>
            <w:noWrap w:val="0"/>
            <w:vAlign w:val="top"/>
          </w:tcPr>
          <w:p w14:paraId="3CC5AB6F">
            <w:pPr>
              <w:ind w:firstLine="420" w:firstLineChars="200"/>
              <w:rPr>
                <w:rFonts w:hint="eastAsia" w:ascii="宋体" w:hAnsi="宋体" w:eastAsia="宋体" w:cs="宋体"/>
                <w:color w:val="auto"/>
                <w:sz w:val="21"/>
                <w:szCs w:val="21"/>
                <w:highlight w:val="none"/>
              </w:rPr>
            </w:pPr>
          </w:p>
        </w:tc>
        <w:tc>
          <w:tcPr>
            <w:tcW w:w="1814" w:type="dxa"/>
            <w:noWrap w:val="0"/>
            <w:vAlign w:val="top"/>
          </w:tcPr>
          <w:p w14:paraId="7C4D7F87">
            <w:pPr>
              <w:ind w:firstLine="420" w:firstLineChars="200"/>
              <w:rPr>
                <w:rFonts w:hint="eastAsia" w:ascii="宋体" w:hAnsi="宋体" w:eastAsia="宋体" w:cs="宋体"/>
                <w:color w:val="auto"/>
                <w:sz w:val="21"/>
                <w:szCs w:val="21"/>
                <w:highlight w:val="none"/>
              </w:rPr>
            </w:pPr>
          </w:p>
        </w:tc>
        <w:tc>
          <w:tcPr>
            <w:tcW w:w="1545" w:type="dxa"/>
            <w:noWrap w:val="0"/>
            <w:vAlign w:val="top"/>
          </w:tcPr>
          <w:p w14:paraId="18B6A59C">
            <w:pPr>
              <w:ind w:firstLine="420" w:firstLineChars="200"/>
              <w:rPr>
                <w:rFonts w:hint="eastAsia" w:ascii="宋体" w:hAnsi="宋体" w:eastAsia="宋体" w:cs="宋体"/>
                <w:color w:val="auto"/>
                <w:sz w:val="21"/>
                <w:szCs w:val="21"/>
                <w:highlight w:val="none"/>
              </w:rPr>
            </w:pPr>
          </w:p>
        </w:tc>
        <w:tc>
          <w:tcPr>
            <w:tcW w:w="2050" w:type="dxa"/>
            <w:noWrap w:val="0"/>
            <w:vAlign w:val="top"/>
          </w:tcPr>
          <w:p w14:paraId="0F6FD056">
            <w:pPr>
              <w:ind w:firstLine="420" w:firstLineChars="200"/>
              <w:rPr>
                <w:rFonts w:hint="eastAsia" w:ascii="宋体" w:hAnsi="宋体" w:eastAsia="宋体" w:cs="宋体"/>
                <w:color w:val="auto"/>
                <w:sz w:val="21"/>
                <w:szCs w:val="21"/>
                <w:highlight w:val="none"/>
              </w:rPr>
            </w:pPr>
          </w:p>
        </w:tc>
        <w:tc>
          <w:tcPr>
            <w:tcW w:w="1404" w:type="dxa"/>
            <w:noWrap w:val="0"/>
            <w:vAlign w:val="top"/>
          </w:tcPr>
          <w:p w14:paraId="2ADA2F00">
            <w:pPr>
              <w:ind w:firstLine="420" w:firstLineChars="200"/>
              <w:rPr>
                <w:rFonts w:hint="eastAsia" w:ascii="宋体" w:hAnsi="宋体" w:eastAsia="宋体" w:cs="宋体"/>
                <w:color w:val="auto"/>
                <w:sz w:val="21"/>
                <w:szCs w:val="21"/>
                <w:highlight w:val="none"/>
              </w:rPr>
            </w:pPr>
          </w:p>
        </w:tc>
        <w:tc>
          <w:tcPr>
            <w:tcW w:w="1395" w:type="dxa"/>
            <w:noWrap w:val="0"/>
            <w:vAlign w:val="top"/>
          </w:tcPr>
          <w:p w14:paraId="4F06A046">
            <w:pPr>
              <w:ind w:firstLine="420" w:firstLineChars="200"/>
              <w:rPr>
                <w:rFonts w:hint="eastAsia" w:ascii="宋体" w:hAnsi="宋体" w:eastAsia="宋体" w:cs="宋体"/>
                <w:color w:val="auto"/>
                <w:sz w:val="21"/>
                <w:szCs w:val="21"/>
                <w:highlight w:val="none"/>
              </w:rPr>
            </w:pPr>
          </w:p>
        </w:tc>
      </w:tr>
    </w:tbl>
    <w:p w14:paraId="5442FCA5">
      <w:pPr>
        <w:spacing w:line="5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AF41986">
      <w:pPr>
        <w:spacing w:line="500" w:lineRule="atLeast"/>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 </w:t>
      </w:r>
    </w:p>
    <w:p w14:paraId="6473D43A">
      <w:pPr>
        <w:spacing w:line="480" w:lineRule="exact"/>
        <w:ind w:left="2520" w:leftChars="1200"/>
        <w:rPr>
          <w:rFonts w:hint="eastAsia" w:ascii="宋体" w:hAnsi="宋体" w:eastAsia="宋体" w:cs="宋体"/>
          <w:color w:val="auto"/>
          <w:sz w:val="24"/>
          <w:highlight w:val="none"/>
        </w:rPr>
      </w:pPr>
    </w:p>
    <w:p w14:paraId="26AB1AEA">
      <w:pPr>
        <w:spacing w:line="480" w:lineRule="exact"/>
        <w:ind w:left="2520" w:leftChars="1200"/>
        <w:rPr>
          <w:rFonts w:hint="eastAsia" w:ascii="宋体" w:hAnsi="宋体" w:eastAsia="宋体" w:cs="宋体"/>
          <w:color w:val="auto"/>
          <w:sz w:val="24"/>
          <w:highlight w:val="none"/>
        </w:rPr>
      </w:pPr>
    </w:p>
    <w:p w14:paraId="36EADA4C">
      <w:pPr>
        <w:spacing w:line="480" w:lineRule="exact"/>
        <w:ind w:left="2520" w:leftChars="1200"/>
        <w:rPr>
          <w:rFonts w:hint="eastAsia" w:ascii="宋体" w:hAnsi="宋体" w:eastAsia="宋体" w:cs="宋体"/>
          <w:color w:val="auto"/>
          <w:sz w:val="24"/>
          <w:highlight w:val="none"/>
        </w:rPr>
      </w:pPr>
    </w:p>
    <w:p w14:paraId="39CF8159">
      <w:pPr>
        <w:spacing w:line="360" w:lineRule="auto"/>
        <w:jc w:val="right"/>
        <w:outlineLvl w:val="2"/>
        <w:rPr>
          <w:rFonts w:hint="eastAsia"/>
          <w:b w:val="0"/>
          <w:bCs/>
          <w:sz w:val="21"/>
          <w:szCs w:val="21"/>
          <w:highlight w:val="none"/>
        </w:rPr>
      </w:pPr>
      <w:r>
        <w:rPr>
          <w:rFonts w:hint="eastAsia" w:ascii="宋体" w:hAnsi="宋体" w:cs="宋体"/>
          <w:color w:val="auto"/>
          <w:sz w:val="24"/>
          <w:highlight w:val="none"/>
          <w:lang w:val="en-US" w:eastAsia="zh-CN"/>
        </w:rPr>
        <w:t>法人</w:t>
      </w:r>
      <w:r>
        <w:rPr>
          <w:rFonts w:hint="eastAsia"/>
          <w:b w:val="0"/>
          <w:bCs/>
          <w:sz w:val="21"/>
          <w:szCs w:val="21"/>
          <w:highlight w:val="none"/>
        </w:rPr>
        <w:t xml:space="preserve">： </w:t>
      </w:r>
      <w:r>
        <w:rPr>
          <w:rFonts w:hint="eastAsia"/>
          <w:b w:val="0"/>
          <w:bCs/>
          <w:sz w:val="21"/>
          <w:szCs w:val="21"/>
          <w:highlight w:val="none"/>
          <w:u w:val="single"/>
          <w:lang w:val="en-US" w:eastAsia="zh-CN"/>
        </w:rPr>
        <w:t xml:space="preserve">              </w:t>
      </w:r>
      <w:r>
        <w:rPr>
          <w:rFonts w:hint="eastAsia"/>
          <w:b w:val="0"/>
          <w:bCs/>
          <w:sz w:val="21"/>
          <w:szCs w:val="21"/>
          <w:highlight w:val="none"/>
          <w:u w:val="single"/>
        </w:rPr>
        <w:tab/>
      </w:r>
      <w:r>
        <w:rPr>
          <w:rFonts w:hint="eastAsia"/>
          <w:b w:val="0"/>
          <w:bCs/>
          <w:sz w:val="21"/>
          <w:szCs w:val="21"/>
          <w:highlight w:val="none"/>
        </w:rPr>
        <w:t>（盖章）</w:t>
      </w:r>
    </w:p>
    <w:p w14:paraId="655347CF">
      <w:pPr>
        <w:spacing w:line="360" w:lineRule="auto"/>
        <w:jc w:val="right"/>
        <w:outlineLvl w:val="2"/>
        <w:rPr>
          <w:rFonts w:hint="eastAsia"/>
          <w:b w:val="0"/>
          <w:bCs/>
          <w:sz w:val="21"/>
          <w:szCs w:val="21"/>
          <w:highlight w:val="none"/>
        </w:rPr>
      </w:pPr>
      <w:r>
        <w:rPr>
          <w:rFonts w:hint="eastAsia"/>
          <w:b w:val="0"/>
          <w:bCs/>
          <w:sz w:val="21"/>
          <w:szCs w:val="21"/>
          <w:highlight w:val="none"/>
        </w:rPr>
        <w:t>委托代理人：</w:t>
      </w:r>
      <w:r>
        <w:rPr>
          <w:rFonts w:hint="eastAsia"/>
          <w:b w:val="0"/>
          <w:bCs/>
          <w:sz w:val="21"/>
          <w:szCs w:val="21"/>
          <w:highlight w:val="none"/>
          <w:u w:val="single"/>
          <w:lang w:val="en-US" w:eastAsia="zh-CN"/>
        </w:rPr>
        <w:t xml:space="preserve">         </w:t>
      </w:r>
      <w:r>
        <w:rPr>
          <w:rFonts w:hint="eastAsia"/>
          <w:b w:val="0"/>
          <w:bCs/>
          <w:sz w:val="21"/>
          <w:szCs w:val="21"/>
          <w:highlight w:val="none"/>
          <w:u w:val="single"/>
        </w:rPr>
        <w:t xml:space="preserve"> </w:t>
      </w:r>
      <w:r>
        <w:rPr>
          <w:rFonts w:hint="eastAsia"/>
          <w:b w:val="0"/>
          <w:bCs/>
          <w:sz w:val="21"/>
          <w:szCs w:val="21"/>
          <w:highlight w:val="none"/>
          <w:u w:val="single"/>
        </w:rPr>
        <w:tab/>
      </w:r>
      <w:r>
        <w:rPr>
          <w:rFonts w:hint="eastAsia"/>
          <w:b w:val="0"/>
          <w:bCs/>
          <w:sz w:val="21"/>
          <w:szCs w:val="21"/>
          <w:highlight w:val="none"/>
        </w:rPr>
        <w:t>（</w:t>
      </w:r>
      <w:r>
        <w:rPr>
          <w:rFonts w:hint="eastAsia"/>
          <w:b w:val="0"/>
          <w:bCs/>
          <w:sz w:val="21"/>
          <w:szCs w:val="21"/>
          <w:highlight w:val="none"/>
          <w:lang w:val="en-US" w:eastAsia="zh-CN"/>
        </w:rPr>
        <w:t>盖章</w:t>
      </w:r>
      <w:r>
        <w:rPr>
          <w:rFonts w:hint="eastAsia"/>
          <w:b w:val="0"/>
          <w:bCs/>
          <w:sz w:val="21"/>
          <w:szCs w:val="21"/>
          <w:highlight w:val="none"/>
        </w:rPr>
        <w:t>）</w:t>
      </w:r>
    </w:p>
    <w:p w14:paraId="26433876">
      <w:pPr>
        <w:wordWrap w:val="0"/>
        <w:spacing w:line="480" w:lineRule="exact"/>
        <w:ind w:right="140"/>
        <w:jc w:val="right"/>
        <w:rPr>
          <w:rFonts w:hint="eastAsia" w:ascii="宋体" w:hAnsi="宋体" w:eastAsia="宋体" w:cs="宋体"/>
          <w:color w:val="auto"/>
          <w:sz w:val="24"/>
          <w:highlight w:val="none"/>
        </w:rPr>
      </w:pPr>
      <w:r>
        <w:rPr>
          <w:rFonts w:hint="eastAsia"/>
          <w:b w:val="0"/>
          <w:bCs/>
          <w:sz w:val="21"/>
          <w:szCs w:val="21"/>
          <w:highlight w:val="none"/>
        </w:rPr>
        <w:t xml:space="preserve"> </w:t>
      </w:r>
      <w:r>
        <w:rPr>
          <w:rFonts w:hint="eastAsia"/>
          <w:b w:val="0"/>
          <w:bCs/>
          <w:sz w:val="21"/>
          <w:szCs w:val="21"/>
          <w:highlight w:val="none"/>
          <w:lang w:val="en-US" w:eastAsia="zh-CN"/>
        </w:rPr>
        <w:t>日期：</w:t>
      </w:r>
      <w:r>
        <w:rPr>
          <w:rFonts w:hint="eastAsia"/>
          <w:b w:val="0"/>
          <w:bCs/>
          <w:sz w:val="21"/>
          <w:szCs w:val="21"/>
          <w:highlight w:val="none"/>
        </w:rPr>
        <w:t xml:space="preserve">年 </w:t>
      </w:r>
      <w:r>
        <w:rPr>
          <w:rFonts w:hint="eastAsia"/>
          <w:b w:val="0"/>
          <w:bCs/>
          <w:sz w:val="21"/>
          <w:szCs w:val="21"/>
          <w:highlight w:val="none"/>
          <w:lang w:val="en-US" w:eastAsia="zh-CN"/>
        </w:rPr>
        <w:t xml:space="preserve"> </w:t>
      </w:r>
      <w:r>
        <w:rPr>
          <w:rFonts w:hint="eastAsia"/>
          <w:b w:val="0"/>
          <w:bCs/>
          <w:sz w:val="21"/>
          <w:szCs w:val="21"/>
          <w:highlight w:val="none"/>
        </w:rPr>
        <w:tab/>
      </w:r>
      <w:r>
        <w:rPr>
          <w:rFonts w:hint="eastAsia"/>
          <w:b w:val="0"/>
          <w:bCs/>
          <w:sz w:val="21"/>
          <w:szCs w:val="21"/>
          <w:highlight w:val="none"/>
        </w:rPr>
        <w:t xml:space="preserve">月 </w:t>
      </w:r>
      <w:r>
        <w:rPr>
          <w:rFonts w:hint="eastAsia"/>
          <w:b w:val="0"/>
          <w:bCs/>
          <w:sz w:val="21"/>
          <w:szCs w:val="21"/>
          <w:highlight w:val="none"/>
        </w:rPr>
        <w:tab/>
      </w:r>
      <w:r>
        <w:rPr>
          <w:rFonts w:hint="eastAsia"/>
          <w:b w:val="0"/>
          <w:bCs/>
          <w:sz w:val="21"/>
          <w:szCs w:val="21"/>
          <w:highlight w:val="none"/>
          <w:lang w:val="en-US" w:eastAsia="zh-CN"/>
        </w:rPr>
        <w:t xml:space="preserve"> </w:t>
      </w:r>
      <w:r>
        <w:rPr>
          <w:rFonts w:hint="eastAsia"/>
          <w:b w:val="0"/>
          <w:bCs/>
          <w:sz w:val="21"/>
          <w:szCs w:val="21"/>
          <w:highlight w:val="none"/>
        </w:rPr>
        <w:t>日</w:t>
      </w:r>
    </w:p>
    <w:p w14:paraId="308D6F12">
      <w:pPr>
        <w:keepNext w:val="0"/>
        <w:keepLines w:val="0"/>
        <w:widowControl/>
        <w:suppressLineNumbers w:val="0"/>
        <w:spacing w:line="480" w:lineRule="auto"/>
        <w:jc w:val="center"/>
        <w:rPr>
          <w:rFonts w:hint="eastAsia" w:ascii="宋体" w:hAnsi="宋体" w:cs="宋体"/>
          <w:b/>
          <w:bCs/>
          <w:color w:val="000000"/>
          <w:kern w:val="0"/>
          <w:sz w:val="28"/>
          <w:szCs w:val="28"/>
          <w:highlight w:val="none"/>
          <w:lang w:val="en-US" w:eastAsia="zh-CN" w:bidi="ar"/>
        </w:rPr>
      </w:pPr>
    </w:p>
    <w:p w14:paraId="32FEBCDC">
      <w:pPr>
        <w:keepNext w:val="0"/>
        <w:keepLines w:val="0"/>
        <w:widowControl/>
        <w:suppressLineNumbers w:val="0"/>
        <w:spacing w:line="480" w:lineRule="auto"/>
        <w:jc w:val="center"/>
        <w:rPr>
          <w:rFonts w:hint="eastAsia" w:ascii="宋体" w:hAnsi="宋体" w:cs="宋体"/>
          <w:b/>
          <w:bCs/>
          <w:color w:val="000000"/>
          <w:kern w:val="0"/>
          <w:sz w:val="28"/>
          <w:szCs w:val="28"/>
          <w:highlight w:val="none"/>
          <w:lang w:val="en-US" w:eastAsia="zh-CN" w:bidi="ar"/>
        </w:rPr>
      </w:pPr>
    </w:p>
    <w:p w14:paraId="5341675E">
      <w:pPr>
        <w:keepNext w:val="0"/>
        <w:keepLines w:val="0"/>
        <w:widowControl/>
        <w:suppressLineNumbers w:val="0"/>
        <w:spacing w:line="480" w:lineRule="auto"/>
        <w:jc w:val="center"/>
        <w:rPr>
          <w:rFonts w:hint="eastAsia" w:ascii="宋体" w:hAnsi="宋体" w:cs="宋体"/>
          <w:b/>
          <w:bCs/>
          <w:color w:val="000000"/>
          <w:kern w:val="0"/>
          <w:sz w:val="28"/>
          <w:szCs w:val="28"/>
          <w:highlight w:val="none"/>
          <w:lang w:val="en-US" w:eastAsia="zh-CN" w:bidi="ar"/>
        </w:rPr>
      </w:pPr>
    </w:p>
    <w:p w14:paraId="42DB1102">
      <w:pP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br w:type="page"/>
      </w:r>
    </w:p>
    <w:p w14:paraId="60F850E9">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 xml:space="preserve"> 九</w:t>
      </w:r>
      <w:r>
        <w:rPr>
          <w:rFonts w:hint="eastAsia" w:ascii="宋体" w:hAnsi="宋体" w:eastAsia="宋体" w:cs="宋体"/>
          <w:b/>
          <w:bCs/>
          <w:color w:val="000000"/>
          <w:kern w:val="0"/>
          <w:sz w:val="24"/>
          <w:szCs w:val="24"/>
          <w:highlight w:val="none"/>
          <w:lang w:val="en-US" w:eastAsia="zh-CN" w:bidi="ar"/>
        </w:rPr>
        <w:t>、资格审查资料</w:t>
      </w:r>
    </w:p>
    <w:p w14:paraId="0D92E392">
      <w:pPr>
        <w:keepNext w:val="0"/>
        <w:keepLines w:val="0"/>
        <w:widowControl/>
        <w:suppressLineNumbers w:val="0"/>
        <w:spacing w:line="480" w:lineRule="auto"/>
        <w:jc w:val="left"/>
        <w:rPr>
          <w:rFonts w:hint="eastAsia" w:ascii="宋体" w:hAnsi="宋体" w:eastAsia="宋体" w:cs="宋体"/>
          <w:color w:val="000000"/>
          <w:kern w:val="0"/>
          <w:sz w:val="28"/>
          <w:szCs w:val="28"/>
          <w:highlight w:val="none"/>
          <w:lang w:val="en-US" w:eastAsia="zh-CN" w:bidi="ar"/>
        </w:rPr>
      </w:pPr>
    </w:p>
    <w:p w14:paraId="608B8E79">
      <w:pPr>
        <w:spacing w:before="65" w:line="227" w:lineRule="auto"/>
        <w:ind w:left="3035"/>
        <w:rPr>
          <w:rFonts w:ascii="宋体" w:hAnsi="宋体" w:eastAsia="宋体" w:cs="宋体"/>
          <w:spacing w:val="21"/>
          <w:sz w:val="20"/>
          <w:szCs w:val="20"/>
          <w:highlight w:val="none"/>
          <w14:textOutline w14:w="3795" w14:cap="sq" w14:cmpd="sng">
            <w14:solidFill>
              <w14:srgbClr w14:val="000000"/>
            </w14:solidFill>
            <w14:prstDash w14:val="solid"/>
            <w14:bevel/>
          </w14:textOutline>
        </w:rPr>
      </w:pPr>
    </w:p>
    <w:p w14:paraId="4E3DF2D8">
      <w:pPr>
        <w:spacing w:before="65" w:line="227" w:lineRule="auto"/>
        <w:ind w:left="3035"/>
        <w:rPr>
          <w:rFonts w:ascii="宋体" w:hAnsi="宋体" w:eastAsia="宋体" w:cs="宋体"/>
          <w:spacing w:val="21"/>
          <w:sz w:val="20"/>
          <w:szCs w:val="20"/>
          <w:highlight w:val="none"/>
          <w14:textOutline w14:w="3795" w14:cap="sq" w14:cmpd="sng">
            <w14:solidFill>
              <w14:srgbClr w14:val="000000"/>
            </w14:solidFill>
            <w14:prstDash w14:val="solid"/>
            <w14:bevel/>
          </w14:textOutline>
        </w:rPr>
      </w:pPr>
    </w:p>
    <w:p w14:paraId="1227FDD9">
      <w:pPr>
        <w:spacing w:before="65" w:line="227" w:lineRule="auto"/>
        <w:ind w:left="3035"/>
        <w:rPr>
          <w:rFonts w:ascii="宋体" w:hAnsi="宋体" w:eastAsia="宋体" w:cs="宋体"/>
          <w:spacing w:val="21"/>
          <w:sz w:val="20"/>
          <w:szCs w:val="20"/>
          <w:highlight w:val="none"/>
          <w14:textOutline w14:w="3795" w14:cap="sq" w14:cmpd="sng">
            <w14:solidFill>
              <w14:srgbClr w14:val="000000"/>
            </w14:solidFill>
            <w14:prstDash w14:val="solid"/>
            <w14:bevel/>
          </w14:textOutline>
        </w:rPr>
      </w:pPr>
    </w:p>
    <w:p w14:paraId="35DFDBCA">
      <w:pPr>
        <w:spacing w:before="65" w:line="227" w:lineRule="auto"/>
        <w:ind w:left="3035"/>
        <w:rPr>
          <w:rFonts w:ascii="宋体" w:hAnsi="宋体" w:eastAsia="宋体" w:cs="宋体"/>
          <w:spacing w:val="21"/>
          <w:sz w:val="20"/>
          <w:szCs w:val="20"/>
          <w:highlight w:val="none"/>
          <w14:textOutline w14:w="3795" w14:cap="sq" w14:cmpd="sng">
            <w14:solidFill>
              <w14:srgbClr w14:val="000000"/>
            </w14:solidFill>
            <w14:prstDash w14:val="solid"/>
            <w14:bevel/>
          </w14:textOutline>
        </w:rPr>
      </w:pPr>
    </w:p>
    <w:p w14:paraId="292F8934">
      <w:pPr>
        <w:spacing w:before="65" w:line="227" w:lineRule="auto"/>
        <w:ind w:left="3035"/>
        <w:rPr>
          <w:rFonts w:ascii="宋体" w:hAnsi="宋体" w:eastAsia="宋体" w:cs="宋体"/>
          <w:spacing w:val="21"/>
          <w:sz w:val="20"/>
          <w:szCs w:val="20"/>
          <w:highlight w:val="none"/>
          <w14:textOutline w14:w="3795" w14:cap="sq" w14:cmpd="sng">
            <w14:solidFill>
              <w14:srgbClr w14:val="000000"/>
            </w14:solidFill>
            <w14:prstDash w14:val="solid"/>
            <w14:bevel/>
          </w14:textOutline>
        </w:rPr>
      </w:pPr>
    </w:p>
    <w:p w14:paraId="320C36F1">
      <w:pPr>
        <w:spacing w:before="65" w:line="227" w:lineRule="auto"/>
        <w:ind w:left="3035"/>
        <w:rPr>
          <w:rFonts w:ascii="宋体" w:hAnsi="宋体" w:eastAsia="宋体" w:cs="宋体"/>
          <w:spacing w:val="21"/>
          <w:sz w:val="20"/>
          <w:szCs w:val="20"/>
          <w:highlight w:val="none"/>
          <w14:textOutline w14:w="3795" w14:cap="sq" w14:cmpd="sng">
            <w14:solidFill>
              <w14:srgbClr w14:val="000000"/>
            </w14:solidFill>
            <w14:prstDash w14:val="solid"/>
            <w14:bevel/>
          </w14:textOutline>
        </w:rPr>
      </w:pPr>
    </w:p>
    <w:p w14:paraId="388D6838">
      <w:pPr>
        <w:spacing w:before="65" w:line="227" w:lineRule="auto"/>
        <w:ind w:left="3035"/>
        <w:rPr>
          <w:rFonts w:ascii="宋体" w:hAnsi="宋体" w:eastAsia="宋体" w:cs="宋体"/>
          <w:spacing w:val="21"/>
          <w:sz w:val="20"/>
          <w:szCs w:val="20"/>
          <w:highlight w:val="none"/>
          <w14:textOutline w14:w="3795" w14:cap="sq" w14:cmpd="sng">
            <w14:solidFill>
              <w14:srgbClr w14:val="000000"/>
            </w14:solidFill>
            <w14:prstDash w14:val="solid"/>
            <w14:bevel/>
          </w14:textOutline>
        </w:rPr>
      </w:pPr>
    </w:p>
    <w:p w14:paraId="12EAD9D7">
      <w:pPr>
        <w:keepNext w:val="0"/>
        <w:keepLines w:val="0"/>
        <w:widowControl/>
        <w:suppressLineNumbers w:val="0"/>
        <w:spacing w:line="480" w:lineRule="auto"/>
        <w:jc w:val="both"/>
        <w:rPr>
          <w:rFonts w:hint="eastAsia" w:ascii="宋体" w:hAnsi="宋体" w:eastAsia="宋体" w:cs="宋体"/>
          <w:b/>
          <w:bCs/>
          <w:color w:val="000000"/>
          <w:kern w:val="0"/>
          <w:sz w:val="28"/>
          <w:szCs w:val="28"/>
          <w:highlight w:val="none"/>
          <w:lang w:val="en-US" w:eastAsia="zh-CN" w:bidi="ar"/>
        </w:rPr>
      </w:pPr>
    </w:p>
    <w:p w14:paraId="4EC205B1">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0DFF43C1">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787E2FF7">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3AA4506E">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772619A2">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01A4F12B">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35F6019A">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0F7B05AC">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12BC312E">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613163BF">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7B360EA1">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61F12027">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26B89275">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5614F3C3">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21544B92">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7F472FDE">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301FEB39">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0218CFF8">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4608278B">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5B0186F6">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3C269866">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3EEC8DF7">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62E61C31">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1F1FCDB7">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6C0D6C63">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69D5FD0B">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352EF5BB">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25B6FE38">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4959D756">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7CE46C50">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5EA015D5">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7AE2C226">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1DE0E79E">
      <w:pPr>
        <w:keepNext w:val="0"/>
        <w:keepLines w:val="0"/>
        <w:widowControl/>
        <w:suppressLineNumbers w:val="0"/>
        <w:jc w:val="center"/>
        <w:rPr>
          <w:rFonts w:hint="eastAsia" w:ascii="宋体" w:hAnsi="宋体" w:cs="宋体"/>
          <w:b/>
          <w:bCs/>
          <w:color w:val="000000"/>
          <w:kern w:val="0"/>
          <w:sz w:val="24"/>
          <w:szCs w:val="24"/>
          <w:highlight w:val="none"/>
          <w:lang w:val="en-US" w:eastAsia="zh-CN" w:bidi="ar"/>
        </w:rPr>
      </w:pPr>
    </w:p>
    <w:p w14:paraId="76DAB3DD">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十、</w:t>
      </w:r>
      <w:r>
        <w:rPr>
          <w:rFonts w:hint="eastAsia" w:ascii="宋体" w:hAnsi="宋体" w:eastAsia="宋体" w:cs="宋体"/>
          <w:b/>
          <w:bCs/>
          <w:color w:val="000000"/>
          <w:kern w:val="0"/>
          <w:sz w:val="24"/>
          <w:szCs w:val="24"/>
          <w:highlight w:val="none"/>
          <w:lang w:val="en-US" w:eastAsia="zh-CN" w:bidi="ar"/>
        </w:rPr>
        <w:t>其他资料</w:t>
      </w:r>
    </w:p>
    <w:p w14:paraId="0632F606">
      <w:pPr>
        <w:pStyle w:val="4"/>
        <w:jc w:val="center"/>
        <w:rPr>
          <w:rFonts w:hint="eastAsia"/>
          <w:color w:val="000000"/>
          <w:highlight w:val="none"/>
        </w:rPr>
      </w:pPr>
    </w:p>
    <w:p w14:paraId="33C78E58">
      <w:pPr>
        <w:spacing w:line="360" w:lineRule="auto"/>
        <w:jc w:val="center"/>
        <w:outlineLvl w:val="2"/>
        <w:rPr>
          <w:rFonts w:hint="default" w:eastAsia="宋体"/>
          <w:b/>
          <w:sz w:val="24"/>
          <w:highlight w:val="none"/>
          <w:lang w:val="en-US" w:eastAsia="zh-CN"/>
        </w:rPr>
      </w:pPr>
      <w:r>
        <w:rPr>
          <w:rFonts w:hint="eastAsia"/>
          <w:b/>
          <w:sz w:val="24"/>
          <w:highlight w:val="none"/>
          <w:lang w:val="en-US" w:eastAsia="zh-CN"/>
        </w:rPr>
        <w:t>供应商认为必须提供的其他材料</w:t>
      </w:r>
    </w:p>
    <w:p w14:paraId="0837B96C">
      <w:pPr>
        <w:spacing w:line="360" w:lineRule="auto"/>
        <w:jc w:val="center"/>
        <w:outlineLvl w:val="2"/>
        <w:rPr>
          <w:rFonts w:hint="eastAsia"/>
          <w:b/>
          <w:sz w:val="24"/>
          <w:highlight w:val="none"/>
        </w:rPr>
      </w:pPr>
    </w:p>
    <w:p w14:paraId="30EBD3D8">
      <w:pPr>
        <w:spacing w:line="360" w:lineRule="auto"/>
        <w:jc w:val="center"/>
        <w:outlineLvl w:val="2"/>
        <w:rPr>
          <w:rFonts w:hint="eastAsia"/>
          <w:b/>
          <w:sz w:val="24"/>
          <w:highlight w:val="none"/>
        </w:rPr>
      </w:pPr>
    </w:p>
    <w:p w14:paraId="5CE3CC30">
      <w:pPr>
        <w:spacing w:line="360" w:lineRule="auto"/>
        <w:jc w:val="center"/>
        <w:outlineLvl w:val="2"/>
        <w:rPr>
          <w:rFonts w:hint="eastAsia"/>
          <w:b/>
          <w:sz w:val="24"/>
          <w:highlight w:val="none"/>
        </w:rPr>
      </w:pPr>
    </w:p>
    <w:p w14:paraId="77428E30">
      <w:pPr>
        <w:spacing w:line="360" w:lineRule="auto"/>
        <w:jc w:val="center"/>
        <w:outlineLvl w:val="2"/>
        <w:rPr>
          <w:rFonts w:hint="eastAsia"/>
          <w:b/>
          <w:sz w:val="24"/>
          <w:highlight w:val="none"/>
        </w:rPr>
      </w:pPr>
    </w:p>
    <w:p w14:paraId="79ACF0F4">
      <w:pPr>
        <w:spacing w:line="360" w:lineRule="auto"/>
        <w:jc w:val="center"/>
        <w:outlineLvl w:val="2"/>
        <w:rPr>
          <w:rFonts w:hint="eastAsia"/>
          <w:b/>
          <w:sz w:val="24"/>
          <w:highlight w:val="none"/>
        </w:rPr>
      </w:pPr>
    </w:p>
    <w:p w14:paraId="77851BAC">
      <w:pPr>
        <w:spacing w:line="360" w:lineRule="auto"/>
        <w:jc w:val="center"/>
        <w:outlineLvl w:val="2"/>
        <w:rPr>
          <w:rFonts w:hint="eastAsia"/>
          <w:b/>
          <w:sz w:val="24"/>
          <w:highlight w:val="none"/>
        </w:rPr>
      </w:pPr>
    </w:p>
    <w:p w14:paraId="48D8E91D">
      <w:pPr>
        <w:spacing w:line="360" w:lineRule="auto"/>
        <w:jc w:val="center"/>
        <w:outlineLvl w:val="2"/>
        <w:rPr>
          <w:rFonts w:hint="eastAsia"/>
          <w:b/>
          <w:sz w:val="24"/>
          <w:highlight w:val="none"/>
        </w:rPr>
      </w:pPr>
    </w:p>
    <w:p w14:paraId="5A2679A8">
      <w:pPr>
        <w:spacing w:line="360" w:lineRule="auto"/>
        <w:jc w:val="center"/>
        <w:outlineLvl w:val="2"/>
        <w:rPr>
          <w:rFonts w:hint="eastAsia"/>
          <w:b/>
          <w:sz w:val="24"/>
          <w:highlight w:val="none"/>
        </w:rPr>
      </w:pPr>
    </w:p>
    <w:p w14:paraId="39B80706">
      <w:pPr>
        <w:spacing w:line="360" w:lineRule="auto"/>
        <w:jc w:val="center"/>
        <w:outlineLvl w:val="2"/>
        <w:rPr>
          <w:rFonts w:hint="eastAsia"/>
          <w:b/>
          <w:sz w:val="24"/>
          <w:highlight w:val="none"/>
        </w:rPr>
      </w:pPr>
    </w:p>
    <w:p w14:paraId="56C9972B">
      <w:pPr>
        <w:spacing w:line="360" w:lineRule="auto"/>
        <w:jc w:val="center"/>
        <w:outlineLvl w:val="2"/>
        <w:rPr>
          <w:rFonts w:hint="eastAsia"/>
          <w:b/>
          <w:sz w:val="24"/>
          <w:highlight w:val="none"/>
        </w:rPr>
      </w:pPr>
    </w:p>
    <w:p w14:paraId="285AAF58">
      <w:pPr>
        <w:spacing w:line="360" w:lineRule="auto"/>
        <w:jc w:val="center"/>
        <w:outlineLvl w:val="2"/>
        <w:rPr>
          <w:rFonts w:hint="eastAsia"/>
          <w:b/>
          <w:sz w:val="24"/>
          <w:highlight w:val="none"/>
        </w:rPr>
      </w:pPr>
    </w:p>
    <w:p w14:paraId="2003F711">
      <w:pPr>
        <w:spacing w:line="360" w:lineRule="auto"/>
        <w:jc w:val="center"/>
        <w:outlineLvl w:val="2"/>
        <w:rPr>
          <w:rFonts w:hint="eastAsia"/>
          <w:b/>
          <w:sz w:val="24"/>
          <w:highlight w:val="none"/>
        </w:rPr>
      </w:pPr>
    </w:p>
    <w:p w14:paraId="6618855E">
      <w:pPr>
        <w:spacing w:line="360" w:lineRule="auto"/>
        <w:jc w:val="center"/>
        <w:outlineLvl w:val="2"/>
        <w:rPr>
          <w:rFonts w:hint="eastAsia"/>
          <w:b/>
          <w:sz w:val="24"/>
          <w:highlight w:val="none"/>
        </w:rPr>
      </w:pPr>
    </w:p>
    <w:p w14:paraId="46320DF2">
      <w:pPr>
        <w:spacing w:line="360" w:lineRule="auto"/>
        <w:jc w:val="center"/>
        <w:outlineLvl w:val="2"/>
        <w:rPr>
          <w:rFonts w:hint="eastAsia"/>
          <w:b/>
          <w:sz w:val="24"/>
          <w:highlight w:val="none"/>
        </w:rPr>
      </w:pPr>
    </w:p>
    <w:p w14:paraId="4C5E74AE">
      <w:pPr>
        <w:spacing w:line="360" w:lineRule="auto"/>
        <w:jc w:val="center"/>
        <w:outlineLvl w:val="2"/>
        <w:rPr>
          <w:rFonts w:hint="eastAsia"/>
          <w:b/>
          <w:sz w:val="24"/>
          <w:highlight w:val="none"/>
        </w:rPr>
      </w:pPr>
    </w:p>
    <w:p w14:paraId="642942AB">
      <w:pPr>
        <w:spacing w:line="360" w:lineRule="auto"/>
        <w:jc w:val="center"/>
        <w:outlineLvl w:val="2"/>
        <w:rPr>
          <w:rFonts w:hint="eastAsia"/>
          <w:b/>
          <w:sz w:val="24"/>
          <w:highlight w:val="none"/>
        </w:rPr>
      </w:pPr>
    </w:p>
    <w:p w14:paraId="7F3C8AB6">
      <w:pPr>
        <w:keepNext w:val="0"/>
        <w:keepLines w:val="0"/>
        <w:widowControl/>
        <w:suppressLineNumbers w:val="0"/>
        <w:jc w:val="both"/>
        <w:rPr>
          <w:rFonts w:hint="eastAsia" w:ascii="宋体" w:hAnsi="宋体" w:eastAsia="宋体" w:cs="宋体"/>
          <w:b/>
          <w:bCs/>
          <w:color w:val="000000"/>
          <w:kern w:val="0"/>
          <w:sz w:val="28"/>
          <w:szCs w:val="28"/>
          <w:highlight w:val="none"/>
          <w:lang w:val="en-US" w:eastAsia="zh-CN" w:bidi="ar"/>
        </w:rPr>
      </w:pPr>
    </w:p>
    <w:p w14:paraId="545A9A0A">
      <w:pPr>
        <w:keepNext w:val="0"/>
        <w:keepLines w:val="0"/>
        <w:widowControl/>
        <w:suppressLineNumbers w:val="0"/>
        <w:jc w:val="center"/>
        <w:rPr>
          <w:rFonts w:hint="eastAsia" w:ascii="宋体" w:hAnsi="宋体" w:eastAsia="宋体" w:cs="宋体"/>
          <w:b/>
          <w:bCs/>
          <w:color w:val="000000"/>
          <w:kern w:val="0"/>
          <w:sz w:val="28"/>
          <w:szCs w:val="28"/>
          <w:highlight w:val="none"/>
          <w:lang w:val="en-US" w:eastAsia="zh-CN" w:bidi="ar"/>
        </w:rPr>
      </w:pPr>
    </w:p>
    <w:p w14:paraId="036CCA74">
      <w:pPr>
        <w:keepNext w:val="0"/>
        <w:keepLines w:val="0"/>
        <w:widowControl/>
        <w:suppressLineNumbers w:val="0"/>
        <w:jc w:val="center"/>
        <w:rPr>
          <w:rFonts w:hint="eastAsia" w:ascii="宋体" w:hAnsi="宋体" w:eastAsia="宋体" w:cs="宋体"/>
          <w:b/>
          <w:bCs/>
          <w:color w:val="000000"/>
          <w:kern w:val="0"/>
          <w:sz w:val="28"/>
          <w:szCs w:val="28"/>
          <w:highlight w:val="none"/>
          <w:lang w:val="en-US" w:eastAsia="zh-CN" w:bidi="ar"/>
        </w:rPr>
      </w:pPr>
    </w:p>
    <w:p w14:paraId="319BB9DC">
      <w:pPr>
        <w:keepNext w:val="0"/>
        <w:keepLines w:val="0"/>
        <w:widowControl/>
        <w:suppressLineNumbers w:val="0"/>
        <w:jc w:val="both"/>
        <w:rPr>
          <w:rFonts w:hint="eastAsia" w:ascii="宋体" w:hAnsi="宋体" w:eastAsia="宋体" w:cs="宋体"/>
          <w:b/>
          <w:bCs/>
          <w:color w:val="000000"/>
          <w:kern w:val="0"/>
          <w:sz w:val="28"/>
          <w:szCs w:val="28"/>
          <w:highlight w:val="none"/>
          <w:lang w:val="en-US" w:eastAsia="zh-CN" w:bidi="ar"/>
        </w:rPr>
      </w:pPr>
    </w:p>
    <w:p w14:paraId="2FF3B3E4">
      <w:pPr>
        <w:keepNext w:val="0"/>
        <w:keepLines w:val="0"/>
        <w:widowControl/>
        <w:suppressLineNumbers w:val="0"/>
        <w:jc w:val="center"/>
        <w:rPr>
          <w:rFonts w:hint="eastAsia" w:ascii="宋体" w:hAnsi="宋体" w:eastAsia="宋体" w:cs="宋体"/>
          <w:b/>
          <w:bCs/>
          <w:color w:val="000000"/>
          <w:kern w:val="0"/>
          <w:sz w:val="28"/>
          <w:szCs w:val="28"/>
          <w:highlight w:val="none"/>
          <w:lang w:val="en-US" w:eastAsia="zh-CN" w:bidi="ar"/>
        </w:rPr>
      </w:pPr>
    </w:p>
    <w:p w14:paraId="17A832EE">
      <w:pPr>
        <w:keepNext w:val="0"/>
        <w:keepLines w:val="0"/>
        <w:widowControl/>
        <w:suppressLineNumbers w:val="0"/>
        <w:jc w:val="center"/>
        <w:rPr>
          <w:rFonts w:hint="eastAsia" w:ascii="宋体" w:hAnsi="宋体" w:eastAsia="宋体" w:cs="宋体"/>
          <w:b/>
          <w:bCs/>
          <w:color w:val="000000"/>
          <w:kern w:val="0"/>
          <w:sz w:val="28"/>
          <w:szCs w:val="28"/>
          <w:highlight w:val="none"/>
          <w:lang w:val="en-US" w:eastAsia="zh-CN" w:bidi="ar"/>
        </w:rPr>
      </w:pPr>
    </w:p>
    <w:p w14:paraId="0C2BC8CF">
      <w:pPr>
        <w:keepNext w:val="0"/>
        <w:keepLines w:val="0"/>
        <w:widowControl/>
        <w:suppressLineNumbers w:val="0"/>
        <w:jc w:val="center"/>
        <w:rPr>
          <w:rFonts w:hint="eastAsia" w:ascii="宋体" w:hAnsi="宋体" w:eastAsia="宋体" w:cs="宋体"/>
          <w:b/>
          <w:bCs/>
          <w:color w:val="000000"/>
          <w:kern w:val="0"/>
          <w:sz w:val="28"/>
          <w:szCs w:val="28"/>
          <w:highlight w:val="none"/>
          <w:lang w:val="en-US" w:eastAsia="zh-CN" w:bidi="ar"/>
        </w:rPr>
      </w:pPr>
    </w:p>
    <w:p w14:paraId="3AC92620">
      <w:pPr>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br w:type="page"/>
      </w:r>
      <w:r>
        <w:rPr>
          <w:rFonts w:hint="eastAsia" w:ascii="宋体" w:hAnsi="宋体" w:eastAsia="宋体" w:cs="宋体"/>
          <w:b/>
          <w:bCs/>
          <w:color w:val="000000"/>
          <w:kern w:val="0"/>
          <w:sz w:val="24"/>
          <w:szCs w:val="24"/>
          <w:highlight w:val="none"/>
          <w:lang w:val="en-US" w:eastAsia="zh-CN" w:bidi="ar"/>
        </w:rPr>
        <w:t>附件 1：中小企业声明函</w:t>
      </w:r>
    </w:p>
    <w:p w14:paraId="51B1BB4C">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7CFBC5EE">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5B419AA6">
      <w:pPr>
        <w:keepNext w:val="0"/>
        <w:keepLines w:val="0"/>
        <w:widowControl/>
        <w:suppressLineNumbers w:val="0"/>
        <w:spacing w:line="360" w:lineRule="auto"/>
        <w:ind w:firstLine="480" w:firstLineChars="200"/>
        <w:jc w:val="left"/>
        <w:rPr>
          <w:sz w:val="24"/>
          <w:szCs w:val="24"/>
          <w:highlight w:val="none"/>
        </w:rPr>
      </w:pPr>
      <w:r>
        <w:rPr>
          <w:rFonts w:hint="eastAsia" w:ascii="宋体" w:hAnsi="宋体" w:eastAsia="宋体" w:cs="宋体"/>
          <w:color w:val="000000"/>
          <w:kern w:val="0"/>
          <w:sz w:val="24"/>
          <w:szCs w:val="24"/>
          <w:highlight w:val="none"/>
          <w:lang w:val="en-US" w:eastAsia="zh-CN" w:bidi="ar"/>
        </w:rPr>
        <w:t xml:space="preserve">本公司（联合体）郑重声明，根据《政府采购促进中小企业发展管理办法》（财库﹝2020﹞46 号）的规定，本公司（联合体）参加  </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（单位名称）</w:t>
      </w:r>
      <w:r>
        <w:rPr>
          <w:rFonts w:hint="eastAsia" w:ascii="宋体" w:hAnsi="宋体" w:eastAsia="宋体" w:cs="宋体"/>
          <w:color w:val="000000"/>
          <w:kern w:val="0"/>
          <w:sz w:val="24"/>
          <w:szCs w:val="24"/>
          <w:highlight w:val="none"/>
          <w:lang w:val="en-US" w:eastAsia="zh-CN" w:bidi="ar"/>
        </w:rPr>
        <w:t>的</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u w:val="none"/>
          <w:lang w:val="en-US" w:eastAsia="zh-CN" w:bidi="ar"/>
        </w:rPr>
        <w:t>（项目名称）</w:t>
      </w:r>
      <w:r>
        <w:rPr>
          <w:rFonts w:hint="eastAsia" w:ascii="宋体" w:hAnsi="宋体" w:eastAsia="宋体" w:cs="宋体"/>
          <w:color w:val="000000"/>
          <w:kern w:val="0"/>
          <w:sz w:val="24"/>
          <w:szCs w:val="24"/>
          <w:highlight w:val="none"/>
          <w:lang w:val="en-US" w:eastAsia="zh-CN" w:bidi="ar"/>
        </w:rPr>
        <w:t xml:space="preserve">采购活动，提供的货物全部由符合政策要求的中小企业制造。相关企业的具体情况如下： </w:t>
      </w:r>
    </w:p>
    <w:p w14:paraId="36615DB2">
      <w:pPr>
        <w:keepNext w:val="0"/>
        <w:keepLines w:val="0"/>
        <w:widowControl/>
        <w:numPr>
          <w:ilvl w:val="0"/>
          <w:numId w:val="0"/>
        </w:numPr>
        <w:suppressLineNumbers w:val="0"/>
        <w:spacing w:line="360" w:lineRule="auto"/>
        <w:ind w:firstLine="480" w:firstLineChars="200"/>
        <w:jc w:val="left"/>
        <w:rPr>
          <w:sz w:val="24"/>
          <w:szCs w:val="24"/>
          <w:highlight w:val="none"/>
        </w:rPr>
      </w:pPr>
      <w:r>
        <w:rPr>
          <w:rFonts w:hint="eastAsia" w:ascii="宋体" w:hAnsi="宋体" w:eastAsia="宋体" w:cs="宋体"/>
          <w:color w:val="000000"/>
          <w:kern w:val="0"/>
          <w:sz w:val="24"/>
          <w:szCs w:val="24"/>
          <w:highlight w:val="none"/>
          <w:u w:val="none"/>
          <w:lang w:val="en-US" w:eastAsia="zh-CN" w:bidi="ar"/>
        </w:rPr>
        <w:t>1.</w:t>
      </w:r>
      <w:r>
        <w:rPr>
          <w:rFonts w:hint="eastAsia" w:ascii="宋体" w:hAnsi="宋体" w:eastAsia="宋体" w:cs="宋体"/>
          <w:color w:val="000000"/>
          <w:kern w:val="0"/>
          <w:sz w:val="24"/>
          <w:szCs w:val="24"/>
          <w:highlight w:val="none"/>
          <w:u w:val="single"/>
          <w:lang w:val="en-US" w:eastAsia="zh-CN" w:bidi="ar"/>
        </w:rPr>
        <w:t xml:space="preserve">         （标的名称）</w:t>
      </w:r>
      <w:r>
        <w:rPr>
          <w:rFonts w:hint="eastAsia" w:ascii="宋体" w:hAnsi="宋体" w:eastAsia="宋体" w:cs="宋体"/>
          <w:color w:val="000000"/>
          <w:kern w:val="0"/>
          <w:sz w:val="24"/>
          <w:szCs w:val="24"/>
          <w:highlight w:val="none"/>
          <w:lang w:val="en-US" w:eastAsia="zh-CN" w:bidi="ar"/>
        </w:rPr>
        <w:t xml:space="preserve"> ，属于</w:t>
      </w:r>
      <w:r>
        <w:rPr>
          <w:rFonts w:hint="eastAsia" w:ascii="宋体" w:hAnsi="宋体" w:eastAsia="宋体" w:cs="宋体"/>
          <w:color w:val="000000"/>
          <w:kern w:val="0"/>
          <w:sz w:val="24"/>
          <w:szCs w:val="24"/>
          <w:highlight w:val="none"/>
          <w:u w:val="single"/>
          <w:lang w:val="en-US" w:eastAsia="zh-CN" w:bidi="ar"/>
        </w:rPr>
        <w:t xml:space="preserve">           （采购文件中明确的所属行业）</w:t>
      </w:r>
      <w:r>
        <w:rPr>
          <w:rFonts w:hint="eastAsia" w:ascii="宋体" w:hAnsi="宋体" w:eastAsia="宋体" w:cs="宋体"/>
          <w:color w:val="000000"/>
          <w:kern w:val="0"/>
          <w:sz w:val="24"/>
          <w:szCs w:val="24"/>
          <w:highlight w:val="none"/>
          <w:lang w:val="en-US" w:eastAsia="zh-CN" w:bidi="ar"/>
        </w:rPr>
        <w:t>行业；制造商为</w:t>
      </w:r>
      <w:r>
        <w:rPr>
          <w:rFonts w:hint="eastAsia" w:ascii="宋体" w:hAnsi="宋体" w:eastAsia="宋体" w:cs="宋体"/>
          <w:color w:val="000000"/>
          <w:kern w:val="0"/>
          <w:sz w:val="24"/>
          <w:szCs w:val="24"/>
          <w:highlight w:val="none"/>
          <w:u w:val="single"/>
          <w:lang w:val="en-US" w:eastAsia="zh-CN" w:bidi="ar"/>
        </w:rPr>
        <w:t xml:space="preserve">               （企业名称）</w:t>
      </w:r>
      <w:r>
        <w:rPr>
          <w:rFonts w:hint="eastAsia" w:ascii="宋体" w:hAnsi="宋体" w:eastAsia="宋体" w:cs="宋体"/>
          <w:color w:val="000000"/>
          <w:kern w:val="0"/>
          <w:sz w:val="24"/>
          <w:szCs w:val="24"/>
          <w:highlight w:val="none"/>
          <w:lang w:val="en-US" w:eastAsia="zh-CN" w:bidi="ar"/>
        </w:rPr>
        <w:t>，从业人员</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人，营业收入为</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万元，资产总额为</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万元①，属于</w:t>
      </w:r>
      <w:r>
        <w:rPr>
          <w:rFonts w:hint="eastAsia" w:ascii="宋体" w:hAnsi="宋体" w:eastAsia="宋体" w:cs="宋体"/>
          <w:color w:val="000000"/>
          <w:kern w:val="0"/>
          <w:sz w:val="24"/>
          <w:szCs w:val="24"/>
          <w:highlight w:val="none"/>
          <w:u w:val="single"/>
          <w:lang w:val="en-US" w:eastAsia="zh-CN" w:bidi="ar"/>
        </w:rPr>
        <w:t xml:space="preserve">             （中型企业、小型企业、微型企业）</w:t>
      </w:r>
      <w:r>
        <w:rPr>
          <w:rFonts w:hint="eastAsia" w:ascii="宋体" w:hAnsi="宋体" w:eastAsia="宋体" w:cs="宋体"/>
          <w:color w:val="000000"/>
          <w:kern w:val="0"/>
          <w:sz w:val="24"/>
          <w:szCs w:val="24"/>
          <w:highlight w:val="none"/>
          <w:lang w:val="en-US" w:eastAsia="zh-CN" w:bidi="ar"/>
        </w:rPr>
        <w:t xml:space="preserve">； </w:t>
      </w:r>
    </w:p>
    <w:p w14:paraId="3DE744EB">
      <w:pPr>
        <w:keepNext w:val="0"/>
        <w:keepLines w:val="0"/>
        <w:widowControl/>
        <w:numPr>
          <w:ilvl w:val="0"/>
          <w:numId w:val="0"/>
        </w:numPr>
        <w:suppressLineNumbers w:val="0"/>
        <w:spacing w:line="360" w:lineRule="auto"/>
        <w:ind w:leftChars="0" w:firstLine="480" w:firstLineChars="200"/>
        <w:jc w:val="left"/>
        <w:rPr>
          <w:sz w:val="24"/>
          <w:szCs w:val="24"/>
          <w:highlight w:val="none"/>
        </w:rPr>
      </w:pPr>
      <w:r>
        <w:rPr>
          <w:rFonts w:hint="eastAsia" w:ascii="宋体" w:hAnsi="宋体" w:eastAsia="宋体" w:cs="宋体"/>
          <w:color w:val="000000"/>
          <w:kern w:val="0"/>
          <w:sz w:val="24"/>
          <w:szCs w:val="24"/>
          <w:highlight w:val="none"/>
          <w:u w:val="none"/>
          <w:lang w:val="en-US" w:eastAsia="zh-CN" w:bidi="ar"/>
        </w:rPr>
        <w:t>2.</w:t>
      </w:r>
      <w:r>
        <w:rPr>
          <w:rFonts w:hint="eastAsia" w:ascii="宋体" w:hAnsi="宋体" w:eastAsia="宋体" w:cs="宋体"/>
          <w:color w:val="000000"/>
          <w:kern w:val="0"/>
          <w:sz w:val="24"/>
          <w:szCs w:val="24"/>
          <w:highlight w:val="none"/>
          <w:u w:val="single"/>
          <w:lang w:val="en-US" w:eastAsia="zh-CN" w:bidi="ar"/>
        </w:rPr>
        <w:t xml:space="preserve">          （标的名称）</w:t>
      </w:r>
      <w:r>
        <w:rPr>
          <w:rFonts w:hint="eastAsia" w:ascii="宋体" w:hAnsi="宋体" w:eastAsia="宋体" w:cs="宋体"/>
          <w:color w:val="000000"/>
          <w:kern w:val="0"/>
          <w:sz w:val="24"/>
          <w:szCs w:val="24"/>
          <w:highlight w:val="none"/>
          <w:lang w:val="en-US" w:eastAsia="zh-CN" w:bidi="ar"/>
        </w:rPr>
        <w:t xml:space="preserve"> ，属于 </w:t>
      </w:r>
      <w:r>
        <w:rPr>
          <w:rFonts w:hint="eastAsia" w:ascii="宋体" w:hAnsi="宋体" w:eastAsia="宋体" w:cs="宋体"/>
          <w:color w:val="000000"/>
          <w:kern w:val="0"/>
          <w:sz w:val="24"/>
          <w:szCs w:val="24"/>
          <w:highlight w:val="none"/>
          <w:u w:val="single"/>
          <w:lang w:val="en-US" w:eastAsia="zh-CN" w:bidi="ar"/>
        </w:rPr>
        <w:t xml:space="preserve">        （采购文件中明确的所属行业）</w:t>
      </w:r>
      <w:r>
        <w:rPr>
          <w:rFonts w:hint="eastAsia" w:ascii="宋体" w:hAnsi="宋体" w:eastAsia="宋体" w:cs="宋体"/>
          <w:color w:val="000000"/>
          <w:kern w:val="0"/>
          <w:sz w:val="24"/>
          <w:szCs w:val="24"/>
          <w:highlight w:val="none"/>
          <w:lang w:val="en-US" w:eastAsia="zh-CN" w:bidi="ar"/>
        </w:rPr>
        <w:t>行业；制造商为</w:t>
      </w:r>
      <w:r>
        <w:rPr>
          <w:rFonts w:hint="eastAsia" w:ascii="宋体" w:hAnsi="宋体" w:eastAsia="宋体" w:cs="宋体"/>
          <w:color w:val="000000"/>
          <w:kern w:val="0"/>
          <w:sz w:val="24"/>
          <w:szCs w:val="24"/>
          <w:highlight w:val="none"/>
          <w:u w:val="single"/>
          <w:lang w:val="en-US" w:eastAsia="zh-CN" w:bidi="ar"/>
        </w:rPr>
        <w:t xml:space="preserve">                 （企业名称）</w:t>
      </w:r>
      <w:r>
        <w:rPr>
          <w:rFonts w:hint="eastAsia" w:ascii="宋体" w:hAnsi="宋体" w:eastAsia="宋体" w:cs="宋体"/>
          <w:color w:val="000000"/>
          <w:kern w:val="0"/>
          <w:sz w:val="24"/>
          <w:szCs w:val="24"/>
          <w:highlight w:val="none"/>
          <w:lang w:val="en-US" w:eastAsia="zh-CN" w:bidi="ar"/>
        </w:rPr>
        <w:t>，从业人员</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人，营业收入为</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万元，资产总额为</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万元①，属于</w:t>
      </w:r>
      <w:r>
        <w:rPr>
          <w:rFonts w:hint="eastAsia" w:ascii="宋体" w:hAnsi="宋体" w:eastAsia="宋体" w:cs="宋体"/>
          <w:color w:val="000000"/>
          <w:kern w:val="0"/>
          <w:sz w:val="24"/>
          <w:szCs w:val="24"/>
          <w:highlight w:val="none"/>
          <w:u w:val="single"/>
          <w:lang w:val="en-US" w:eastAsia="zh-CN" w:bidi="ar"/>
        </w:rPr>
        <w:t xml:space="preserve">           （中型企业、小型企业、微型企业）</w:t>
      </w:r>
      <w:r>
        <w:rPr>
          <w:rFonts w:hint="eastAsia" w:ascii="宋体" w:hAnsi="宋体" w:eastAsia="宋体" w:cs="宋体"/>
          <w:color w:val="000000"/>
          <w:kern w:val="0"/>
          <w:sz w:val="24"/>
          <w:szCs w:val="24"/>
          <w:highlight w:val="none"/>
          <w:lang w:val="en-US" w:eastAsia="zh-CN" w:bidi="ar"/>
        </w:rPr>
        <w:t xml:space="preserve">； </w:t>
      </w:r>
    </w:p>
    <w:p w14:paraId="2603C7EE">
      <w:pPr>
        <w:keepNext w:val="0"/>
        <w:keepLines w:val="0"/>
        <w:widowControl/>
        <w:suppressLineNumbers w:val="0"/>
        <w:spacing w:line="360" w:lineRule="auto"/>
        <w:jc w:val="left"/>
        <w:rPr>
          <w:sz w:val="24"/>
          <w:szCs w:val="24"/>
          <w:highlight w:val="none"/>
        </w:rPr>
      </w:pPr>
      <w:r>
        <w:rPr>
          <w:rFonts w:hint="eastAsia" w:ascii="宋体" w:hAnsi="宋体" w:eastAsia="宋体" w:cs="宋体"/>
          <w:color w:val="000000"/>
          <w:kern w:val="0"/>
          <w:sz w:val="24"/>
          <w:szCs w:val="24"/>
          <w:highlight w:val="none"/>
          <w:lang w:val="en-US" w:eastAsia="zh-CN" w:bidi="ar"/>
        </w:rPr>
        <w:t xml:space="preserve">……………… </w:t>
      </w:r>
    </w:p>
    <w:p w14:paraId="4794D014">
      <w:pPr>
        <w:keepNext w:val="0"/>
        <w:keepLines w:val="0"/>
        <w:widowControl/>
        <w:suppressLineNumbers w:val="0"/>
        <w:spacing w:line="360" w:lineRule="auto"/>
        <w:ind w:firstLine="480" w:firstLineChars="200"/>
        <w:jc w:val="left"/>
        <w:rPr>
          <w:sz w:val="24"/>
          <w:szCs w:val="24"/>
          <w:highlight w:val="none"/>
        </w:rPr>
      </w:pPr>
      <w:r>
        <w:rPr>
          <w:rFonts w:hint="eastAsia" w:ascii="宋体" w:hAnsi="宋体" w:eastAsia="宋体" w:cs="宋体"/>
          <w:color w:val="000000"/>
          <w:kern w:val="0"/>
          <w:sz w:val="24"/>
          <w:szCs w:val="24"/>
          <w:highlight w:val="none"/>
          <w:lang w:val="en-US" w:eastAsia="zh-CN" w:bidi="ar"/>
        </w:rPr>
        <w:t xml:space="preserve">以上企业，不属于大企业的分支机构，不存在控股股东为大企业的情形，也不存在与大企业的负责人为同一人的情形。 </w:t>
      </w:r>
    </w:p>
    <w:p w14:paraId="11E5E1C2">
      <w:pPr>
        <w:keepNext w:val="0"/>
        <w:keepLines w:val="0"/>
        <w:widowControl/>
        <w:suppressLineNumbers w:val="0"/>
        <w:spacing w:line="360" w:lineRule="auto"/>
        <w:ind w:firstLine="480" w:firstLineChars="200"/>
        <w:jc w:val="left"/>
        <w:rPr>
          <w:sz w:val="24"/>
          <w:szCs w:val="24"/>
          <w:highlight w:val="none"/>
        </w:rPr>
      </w:pPr>
      <w:r>
        <w:rPr>
          <w:rFonts w:hint="eastAsia" w:ascii="宋体" w:hAnsi="宋体" w:eastAsia="宋体" w:cs="宋体"/>
          <w:color w:val="000000"/>
          <w:kern w:val="0"/>
          <w:sz w:val="24"/>
          <w:szCs w:val="24"/>
          <w:highlight w:val="none"/>
          <w:lang w:val="en-US" w:eastAsia="zh-CN" w:bidi="ar"/>
        </w:rPr>
        <w:t xml:space="preserve">本企业对上述声明内容的真实性负责。如有虚假，将依法承担相应责任。 </w:t>
      </w:r>
    </w:p>
    <w:p w14:paraId="476A02EB">
      <w:pPr>
        <w:keepNext w:val="0"/>
        <w:keepLines w:val="0"/>
        <w:widowControl/>
        <w:suppressLineNumbers w:val="0"/>
        <w:spacing w:line="360" w:lineRule="auto"/>
        <w:ind w:firstLine="3840" w:firstLineChars="1600"/>
        <w:jc w:val="left"/>
        <w:rPr>
          <w:rFonts w:hint="eastAsia" w:ascii="宋体" w:hAnsi="宋体" w:eastAsia="宋体" w:cs="宋体"/>
          <w:color w:val="000000"/>
          <w:kern w:val="0"/>
          <w:sz w:val="24"/>
          <w:szCs w:val="24"/>
          <w:highlight w:val="none"/>
          <w:lang w:val="en-US" w:eastAsia="zh-CN" w:bidi="ar"/>
        </w:rPr>
      </w:pPr>
    </w:p>
    <w:p w14:paraId="2412066D">
      <w:pPr>
        <w:keepNext w:val="0"/>
        <w:keepLines w:val="0"/>
        <w:widowControl/>
        <w:suppressLineNumbers w:val="0"/>
        <w:spacing w:line="360" w:lineRule="auto"/>
        <w:ind w:firstLine="3840" w:firstLineChars="1600"/>
        <w:jc w:val="left"/>
        <w:rPr>
          <w:rFonts w:hint="eastAsia" w:ascii="宋体" w:hAnsi="宋体" w:eastAsia="宋体" w:cs="宋体"/>
          <w:color w:val="000000"/>
          <w:kern w:val="0"/>
          <w:sz w:val="24"/>
          <w:szCs w:val="24"/>
          <w:highlight w:val="none"/>
          <w:lang w:val="en-US" w:eastAsia="zh-CN" w:bidi="ar"/>
        </w:rPr>
      </w:pPr>
    </w:p>
    <w:p w14:paraId="3F586988">
      <w:pPr>
        <w:keepNext w:val="0"/>
        <w:keepLines w:val="0"/>
        <w:widowControl/>
        <w:suppressLineNumbers w:val="0"/>
        <w:spacing w:line="360" w:lineRule="auto"/>
        <w:ind w:firstLine="6240" w:firstLineChars="2600"/>
        <w:jc w:val="left"/>
        <w:rPr>
          <w:sz w:val="24"/>
          <w:szCs w:val="24"/>
          <w:highlight w:val="none"/>
        </w:rPr>
      </w:pPr>
      <w:r>
        <w:rPr>
          <w:rFonts w:hint="eastAsia" w:ascii="宋体" w:hAnsi="宋体" w:eastAsia="宋体" w:cs="宋体"/>
          <w:color w:val="000000"/>
          <w:kern w:val="0"/>
          <w:sz w:val="24"/>
          <w:szCs w:val="24"/>
          <w:highlight w:val="none"/>
          <w:lang w:val="en-US" w:eastAsia="zh-CN" w:bidi="ar"/>
        </w:rPr>
        <w:t xml:space="preserve">企业名称（盖章）： </w:t>
      </w:r>
    </w:p>
    <w:p w14:paraId="79188A26">
      <w:pPr>
        <w:keepNext w:val="0"/>
        <w:keepLines w:val="0"/>
        <w:widowControl/>
        <w:suppressLineNumbers w:val="0"/>
        <w:spacing w:line="360" w:lineRule="auto"/>
        <w:ind w:firstLine="6240" w:firstLineChars="2600"/>
        <w:jc w:val="left"/>
        <w:rPr>
          <w:sz w:val="24"/>
          <w:szCs w:val="24"/>
          <w:highlight w:val="none"/>
        </w:rPr>
      </w:pPr>
      <w:r>
        <w:rPr>
          <w:rFonts w:hint="eastAsia" w:ascii="宋体" w:hAnsi="宋体" w:eastAsia="宋体" w:cs="宋体"/>
          <w:color w:val="000000"/>
          <w:kern w:val="0"/>
          <w:sz w:val="24"/>
          <w:szCs w:val="24"/>
          <w:highlight w:val="none"/>
          <w:lang w:val="en-US" w:eastAsia="zh-CN" w:bidi="ar"/>
        </w:rPr>
        <w:t xml:space="preserve">日 期： </w:t>
      </w:r>
    </w:p>
    <w:p w14:paraId="39E024DC">
      <w:pPr>
        <w:keepNext w:val="0"/>
        <w:keepLines w:val="0"/>
        <w:widowControl/>
        <w:suppressLineNumbers w:val="0"/>
        <w:jc w:val="left"/>
        <w:rPr>
          <w:highlight w:val="none"/>
        </w:rPr>
      </w:pPr>
      <w:r>
        <w:rPr>
          <w:rFonts w:hint="eastAsia" w:ascii="宋体" w:hAnsi="宋体" w:eastAsia="宋体" w:cs="宋体"/>
          <w:b/>
          <w:bCs/>
          <w:color w:val="000000"/>
          <w:kern w:val="0"/>
          <w:sz w:val="20"/>
          <w:szCs w:val="20"/>
          <w:highlight w:val="none"/>
          <w:lang w:val="en-US" w:eastAsia="zh-CN" w:bidi="ar"/>
        </w:rPr>
        <w:t>①从业人员、营业收入、资产总额填报上一年度数据，无上一年度数据的新成立企业可不填报。</w:t>
      </w:r>
    </w:p>
    <w:p w14:paraId="05715DF4">
      <w:pPr>
        <w:keepNext w:val="0"/>
        <w:keepLines w:val="0"/>
        <w:widowControl/>
        <w:suppressLineNumbers w:val="0"/>
        <w:jc w:val="center"/>
        <w:rPr>
          <w:rFonts w:hint="eastAsia" w:ascii="宋体" w:hAnsi="宋体" w:eastAsia="宋体" w:cs="宋体"/>
          <w:b/>
          <w:bCs/>
          <w:color w:val="000000"/>
          <w:kern w:val="0"/>
          <w:sz w:val="23"/>
          <w:szCs w:val="23"/>
          <w:highlight w:val="none"/>
          <w:lang w:val="en-US" w:eastAsia="zh-CN" w:bidi="ar"/>
        </w:rPr>
      </w:pPr>
    </w:p>
    <w:p w14:paraId="566B0BDA">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4221718B">
      <w:pPr>
        <w:spacing w:line="360" w:lineRule="auto"/>
        <w:jc w:val="center"/>
        <w:outlineLvl w:val="2"/>
        <w:rPr>
          <w:rFonts w:hint="eastAsia"/>
          <w:b/>
          <w:sz w:val="24"/>
          <w:szCs w:val="24"/>
          <w:highlight w:val="none"/>
          <w:lang w:val="en-US" w:eastAsia="zh-CN"/>
        </w:rPr>
      </w:pPr>
    </w:p>
    <w:p w14:paraId="22C6E0A5">
      <w:pPr>
        <w:spacing w:line="360" w:lineRule="auto"/>
        <w:jc w:val="center"/>
        <w:outlineLvl w:val="2"/>
        <w:rPr>
          <w:rFonts w:hint="eastAsia"/>
          <w:b/>
          <w:sz w:val="24"/>
          <w:szCs w:val="24"/>
          <w:highlight w:val="none"/>
          <w:lang w:val="en-US" w:eastAsia="zh-CN"/>
        </w:rPr>
      </w:pPr>
    </w:p>
    <w:p w14:paraId="723544C3">
      <w:pPr>
        <w:spacing w:line="360" w:lineRule="auto"/>
        <w:jc w:val="center"/>
        <w:outlineLvl w:val="2"/>
        <w:rPr>
          <w:rFonts w:hint="eastAsia"/>
          <w:b/>
          <w:sz w:val="24"/>
          <w:szCs w:val="24"/>
          <w:highlight w:val="none"/>
          <w:lang w:val="en-US" w:eastAsia="zh-CN"/>
        </w:rPr>
      </w:pPr>
    </w:p>
    <w:p w14:paraId="17987CE1">
      <w:pPr>
        <w:spacing w:line="360" w:lineRule="auto"/>
        <w:jc w:val="center"/>
        <w:outlineLvl w:val="2"/>
        <w:rPr>
          <w:rFonts w:hint="eastAsia"/>
          <w:b/>
          <w:sz w:val="24"/>
          <w:szCs w:val="24"/>
          <w:highlight w:val="none"/>
          <w:lang w:val="en-US" w:eastAsia="zh-CN"/>
        </w:rPr>
      </w:pPr>
    </w:p>
    <w:p w14:paraId="41599412">
      <w:pPr>
        <w:spacing w:line="360" w:lineRule="auto"/>
        <w:jc w:val="center"/>
        <w:outlineLvl w:val="2"/>
        <w:rPr>
          <w:rFonts w:hint="eastAsia"/>
          <w:b/>
          <w:sz w:val="24"/>
          <w:szCs w:val="24"/>
          <w:highlight w:val="none"/>
          <w:lang w:val="en-US" w:eastAsia="zh-CN"/>
        </w:rPr>
      </w:pPr>
    </w:p>
    <w:p w14:paraId="2C485D2C">
      <w:pPr>
        <w:spacing w:line="360" w:lineRule="auto"/>
        <w:jc w:val="center"/>
        <w:outlineLvl w:val="2"/>
        <w:rPr>
          <w:rFonts w:hint="eastAsia"/>
          <w:b/>
          <w:sz w:val="24"/>
          <w:szCs w:val="24"/>
          <w:highlight w:val="none"/>
          <w:lang w:val="en-US" w:eastAsia="zh-CN"/>
        </w:rPr>
      </w:pPr>
    </w:p>
    <w:p w14:paraId="039D66FC">
      <w:pPr>
        <w:spacing w:line="360" w:lineRule="auto"/>
        <w:jc w:val="both"/>
        <w:outlineLvl w:val="2"/>
        <w:rPr>
          <w:rFonts w:hint="eastAsia"/>
          <w:b/>
          <w:sz w:val="24"/>
          <w:szCs w:val="24"/>
          <w:highlight w:val="none"/>
          <w:lang w:val="en-US" w:eastAsia="zh-CN"/>
        </w:rPr>
      </w:pPr>
    </w:p>
    <w:p w14:paraId="19DDD2D5">
      <w:pPr>
        <w:spacing w:line="360" w:lineRule="auto"/>
        <w:jc w:val="center"/>
        <w:outlineLvl w:val="2"/>
        <w:rPr>
          <w:rFonts w:hint="eastAsia"/>
          <w:b/>
          <w:sz w:val="24"/>
          <w:szCs w:val="24"/>
          <w:highlight w:val="none"/>
          <w:lang w:val="en-US" w:eastAsia="zh-CN"/>
        </w:rPr>
      </w:pPr>
    </w:p>
    <w:p w14:paraId="15F8A76F">
      <w:pPr>
        <w:pStyle w:val="25"/>
        <w:widowControl/>
        <w:shd w:val="clear" w:color="auto" w:fill="FFFFFF"/>
        <w:spacing w:beforeAutospacing="0" w:afterAutospacing="0" w:line="330" w:lineRule="atLeast"/>
        <w:jc w:val="both"/>
        <w:rPr>
          <w:rFonts w:ascii="宋体" w:hAnsi="宋体" w:cs="宋体"/>
          <w:b/>
          <w:kern w:val="2"/>
          <w:sz w:val="21"/>
          <w:szCs w:val="21"/>
          <w:highlight w:val="none"/>
        </w:rPr>
      </w:pPr>
      <w:r>
        <w:rPr>
          <w:rFonts w:hint="eastAsia" w:ascii="宋体" w:hAnsi="宋体" w:cs="宋体"/>
          <w:b/>
          <w:sz w:val="21"/>
          <w:szCs w:val="21"/>
          <w:highlight w:val="none"/>
        </w:rPr>
        <w:t>附件：</w:t>
      </w:r>
      <w:r>
        <w:rPr>
          <w:rFonts w:hint="eastAsia" w:ascii="宋体" w:hAnsi="宋体" w:cs="宋体"/>
          <w:b/>
          <w:kern w:val="2"/>
          <w:sz w:val="21"/>
          <w:szCs w:val="21"/>
          <w:highlight w:val="none"/>
        </w:rPr>
        <w:t>统计上大中小微型企业划分标准</w:t>
      </w:r>
    </w:p>
    <w:tbl>
      <w:tblPr>
        <w:tblStyle w:val="28"/>
        <w:tblW w:w="10155" w:type="dxa"/>
        <w:jc w:val="center"/>
        <w:shd w:val="clear" w:color="auto" w:fill="FFFFFF"/>
        <w:tblLayout w:type="autofit"/>
        <w:tblCellMar>
          <w:top w:w="0" w:type="dxa"/>
          <w:left w:w="0" w:type="dxa"/>
          <w:bottom w:w="0" w:type="dxa"/>
          <w:right w:w="0" w:type="dxa"/>
        </w:tblCellMar>
      </w:tblPr>
      <w:tblGrid>
        <w:gridCol w:w="2280"/>
        <w:gridCol w:w="1472"/>
        <w:gridCol w:w="760"/>
        <w:gridCol w:w="1213"/>
        <w:gridCol w:w="1827"/>
        <w:gridCol w:w="1536"/>
        <w:gridCol w:w="1067"/>
      </w:tblGrid>
      <w:tr w14:paraId="3C4CA78E">
        <w:tblPrEx>
          <w:shd w:val="clear" w:color="auto" w:fill="FFFFFF"/>
          <w:tblCellMar>
            <w:top w:w="0" w:type="dxa"/>
            <w:left w:w="0" w:type="dxa"/>
            <w:bottom w:w="0" w:type="dxa"/>
            <w:right w:w="0" w:type="dxa"/>
          </w:tblCellMar>
        </w:tblPrEx>
        <w:trPr>
          <w:trHeight w:val="615" w:hRule="atLeast"/>
          <w:jc w:val="center"/>
        </w:trPr>
        <w:tc>
          <w:tcPr>
            <w:tcW w:w="2115" w:type="dxa"/>
            <w:tcBorders>
              <w:top w:val="single" w:color="4F81BD" w:sz="6" w:space="0"/>
              <w:left w:val="single" w:color="4F81BD" w:sz="6" w:space="0"/>
              <w:bottom w:val="single" w:color="FFFFFF" w:sz="18" w:space="0"/>
              <w:right w:val="single" w:color="4F81BD" w:sz="6" w:space="0"/>
            </w:tcBorders>
            <w:shd w:val="clear" w:color="auto" w:fill="4F81BD"/>
            <w:noWrap/>
            <w:tcMar>
              <w:left w:w="105" w:type="dxa"/>
              <w:right w:w="105" w:type="dxa"/>
            </w:tcMar>
            <w:vAlign w:val="center"/>
          </w:tcPr>
          <w:p w14:paraId="612F7561">
            <w:pPr>
              <w:pStyle w:val="25"/>
              <w:widowControl/>
              <w:wordWrap w:val="0"/>
              <w:spacing w:beforeAutospacing="0" w:afterAutospacing="0" w:line="240" w:lineRule="atLeast"/>
              <w:jc w:val="center"/>
              <w:rPr>
                <w:rFonts w:ascii="宋体" w:hAnsi="宋体" w:cs="宋体"/>
                <w:sz w:val="20"/>
                <w:szCs w:val="20"/>
                <w:highlight w:val="none"/>
              </w:rPr>
            </w:pPr>
            <w:r>
              <w:rPr>
                <w:rStyle w:val="31"/>
                <w:rFonts w:hint="eastAsia" w:ascii="宋体" w:hAnsi="宋体" w:cs="宋体"/>
                <w:spacing w:val="8"/>
                <w:sz w:val="20"/>
                <w:szCs w:val="20"/>
                <w:highlight w:val="none"/>
              </w:rPr>
              <w:t>行业名称</w:t>
            </w:r>
          </w:p>
        </w:tc>
        <w:tc>
          <w:tcPr>
            <w:tcW w:w="1365" w:type="dxa"/>
            <w:tcBorders>
              <w:top w:val="single" w:color="4F81BD" w:sz="6" w:space="0"/>
              <w:left w:val="nil"/>
              <w:bottom w:val="single" w:color="FFFFFF" w:sz="18" w:space="0"/>
              <w:right w:val="single" w:color="4F81BD" w:sz="6" w:space="0"/>
            </w:tcBorders>
            <w:shd w:val="clear" w:color="auto" w:fill="4F81BD"/>
            <w:noWrap/>
            <w:tcMar>
              <w:left w:w="105" w:type="dxa"/>
              <w:right w:w="105" w:type="dxa"/>
            </w:tcMar>
            <w:vAlign w:val="center"/>
          </w:tcPr>
          <w:p w14:paraId="3F10A505">
            <w:pPr>
              <w:pStyle w:val="25"/>
              <w:widowControl/>
              <w:wordWrap w:val="0"/>
              <w:spacing w:beforeAutospacing="0" w:afterAutospacing="0"/>
              <w:jc w:val="center"/>
              <w:rPr>
                <w:rFonts w:ascii="宋体" w:hAnsi="宋体" w:cs="宋体"/>
                <w:sz w:val="20"/>
                <w:szCs w:val="20"/>
                <w:highlight w:val="none"/>
              </w:rPr>
            </w:pPr>
            <w:r>
              <w:rPr>
                <w:rStyle w:val="31"/>
                <w:rFonts w:hint="eastAsia" w:ascii="宋体" w:hAnsi="宋体" w:cs="宋体"/>
                <w:spacing w:val="8"/>
                <w:sz w:val="20"/>
                <w:szCs w:val="20"/>
                <w:highlight w:val="none"/>
              </w:rPr>
              <w:t>指标名称</w:t>
            </w:r>
          </w:p>
        </w:tc>
        <w:tc>
          <w:tcPr>
            <w:tcW w:w="705" w:type="dxa"/>
            <w:tcBorders>
              <w:top w:val="single" w:color="4F81BD" w:sz="6" w:space="0"/>
              <w:left w:val="nil"/>
              <w:bottom w:val="single" w:color="FFFFFF" w:sz="18" w:space="0"/>
              <w:right w:val="single" w:color="4F81BD" w:sz="6" w:space="0"/>
            </w:tcBorders>
            <w:shd w:val="clear" w:color="auto" w:fill="4F81BD"/>
            <w:noWrap/>
            <w:tcMar>
              <w:left w:w="105" w:type="dxa"/>
              <w:right w:w="105" w:type="dxa"/>
            </w:tcMar>
            <w:vAlign w:val="center"/>
          </w:tcPr>
          <w:p w14:paraId="23F11128">
            <w:pPr>
              <w:pStyle w:val="25"/>
              <w:widowControl/>
              <w:wordWrap w:val="0"/>
              <w:spacing w:beforeAutospacing="0" w:afterAutospacing="0"/>
              <w:jc w:val="center"/>
              <w:rPr>
                <w:rFonts w:ascii="宋体" w:hAnsi="宋体" w:cs="宋体"/>
                <w:sz w:val="20"/>
                <w:szCs w:val="20"/>
                <w:highlight w:val="none"/>
              </w:rPr>
            </w:pPr>
            <w:r>
              <w:rPr>
                <w:rStyle w:val="31"/>
                <w:rFonts w:hint="eastAsia" w:ascii="宋体" w:hAnsi="宋体" w:cs="宋体"/>
                <w:spacing w:val="8"/>
                <w:sz w:val="20"/>
                <w:szCs w:val="20"/>
                <w:highlight w:val="none"/>
              </w:rPr>
              <w:t>计量单位</w:t>
            </w:r>
          </w:p>
        </w:tc>
        <w:tc>
          <w:tcPr>
            <w:tcW w:w="1125" w:type="dxa"/>
            <w:tcBorders>
              <w:top w:val="single" w:color="4F81BD" w:sz="6" w:space="0"/>
              <w:left w:val="nil"/>
              <w:bottom w:val="single" w:color="FFFFFF" w:sz="18" w:space="0"/>
              <w:right w:val="single" w:color="4F81BD" w:sz="6" w:space="0"/>
            </w:tcBorders>
            <w:shd w:val="clear" w:color="auto" w:fill="4F81BD"/>
            <w:noWrap/>
            <w:tcMar>
              <w:left w:w="105" w:type="dxa"/>
              <w:right w:w="105" w:type="dxa"/>
            </w:tcMar>
            <w:vAlign w:val="center"/>
          </w:tcPr>
          <w:p w14:paraId="70CDD9A3">
            <w:pPr>
              <w:pStyle w:val="25"/>
              <w:widowControl/>
              <w:wordWrap w:val="0"/>
              <w:spacing w:beforeAutospacing="0" w:afterAutospacing="0"/>
              <w:jc w:val="center"/>
              <w:rPr>
                <w:rFonts w:ascii="宋体" w:hAnsi="宋体" w:cs="宋体"/>
                <w:sz w:val="20"/>
                <w:szCs w:val="20"/>
                <w:highlight w:val="none"/>
              </w:rPr>
            </w:pPr>
            <w:r>
              <w:rPr>
                <w:rStyle w:val="31"/>
                <w:rFonts w:hint="eastAsia" w:ascii="宋体" w:hAnsi="宋体" w:cs="宋体"/>
                <w:spacing w:val="8"/>
                <w:sz w:val="20"/>
                <w:szCs w:val="20"/>
                <w:highlight w:val="none"/>
              </w:rPr>
              <w:t>大型</w:t>
            </w:r>
          </w:p>
        </w:tc>
        <w:tc>
          <w:tcPr>
            <w:tcW w:w="1695" w:type="dxa"/>
            <w:tcBorders>
              <w:top w:val="single" w:color="4F81BD" w:sz="6" w:space="0"/>
              <w:left w:val="nil"/>
              <w:bottom w:val="single" w:color="FFFFFF" w:sz="18" w:space="0"/>
              <w:right w:val="single" w:color="4F81BD" w:sz="6" w:space="0"/>
            </w:tcBorders>
            <w:shd w:val="clear" w:color="auto" w:fill="4F81BD"/>
            <w:noWrap/>
            <w:tcMar>
              <w:left w:w="105" w:type="dxa"/>
              <w:right w:w="105" w:type="dxa"/>
            </w:tcMar>
            <w:vAlign w:val="center"/>
          </w:tcPr>
          <w:p w14:paraId="6A779822">
            <w:pPr>
              <w:pStyle w:val="25"/>
              <w:widowControl/>
              <w:wordWrap w:val="0"/>
              <w:spacing w:beforeAutospacing="0" w:afterAutospacing="0"/>
              <w:jc w:val="center"/>
              <w:rPr>
                <w:rFonts w:ascii="宋体" w:hAnsi="宋体" w:cs="宋体"/>
                <w:sz w:val="20"/>
                <w:szCs w:val="20"/>
                <w:highlight w:val="none"/>
              </w:rPr>
            </w:pPr>
            <w:r>
              <w:rPr>
                <w:rStyle w:val="31"/>
                <w:rFonts w:hint="eastAsia" w:ascii="宋体" w:hAnsi="宋体" w:cs="宋体"/>
                <w:spacing w:val="8"/>
                <w:sz w:val="20"/>
                <w:szCs w:val="20"/>
                <w:highlight w:val="none"/>
              </w:rPr>
              <w:t>中型</w:t>
            </w:r>
          </w:p>
        </w:tc>
        <w:tc>
          <w:tcPr>
            <w:tcW w:w="1425" w:type="dxa"/>
            <w:tcBorders>
              <w:top w:val="single" w:color="4F81BD" w:sz="6" w:space="0"/>
              <w:left w:val="nil"/>
              <w:bottom w:val="single" w:color="FFFFFF" w:sz="18" w:space="0"/>
              <w:right w:val="single" w:color="4F81BD" w:sz="6" w:space="0"/>
            </w:tcBorders>
            <w:shd w:val="clear" w:color="auto" w:fill="4F81BD"/>
            <w:noWrap/>
            <w:tcMar>
              <w:left w:w="105" w:type="dxa"/>
              <w:right w:w="105" w:type="dxa"/>
            </w:tcMar>
            <w:vAlign w:val="center"/>
          </w:tcPr>
          <w:p w14:paraId="302DEBF4">
            <w:pPr>
              <w:pStyle w:val="25"/>
              <w:widowControl/>
              <w:wordWrap w:val="0"/>
              <w:spacing w:beforeAutospacing="0" w:afterAutospacing="0"/>
              <w:jc w:val="center"/>
              <w:rPr>
                <w:rFonts w:ascii="宋体" w:hAnsi="宋体" w:cs="宋体"/>
                <w:sz w:val="20"/>
                <w:szCs w:val="20"/>
                <w:highlight w:val="none"/>
              </w:rPr>
            </w:pPr>
            <w:r>
              <w:rPr>
                <w:rStyle w:val="31"/>
                <w:rFonts w:hint="eastAsia" w:ascii="宋体" w:hAnsi="宋体" w:cs="宋体"/>
                <w:spacing w:val="8"/>
                <w:sz w:val="20"/>
                <w:szCs w:val="20"/>
                <w:highlight w:val="none"/>
              </w:rPr>
              <w:t>小型</w:t>
            </w:r>
          </w:p>
        </w:tc>
        <w:tc>
          <w:tcPr>
            <w:tcW w:w="990" w:type="dxa"/>
            <w:tcBorders>
              <w:top w:val="single" w:color="4F81BD" w:sz="6" w:space="0"/>
              <w:left w:val="nil"/>
              <w:bottom w:val="single" w:color="FFFFFF" w:sz="18" w:space="0"/>
              <w:right w:val="single" w:color="4F81BD" w:sz="6" w:space="0"/>
            </w:tcBorders>
            <w:shd w:val="clear" w:color="auto" w:fill="4F81BD"/>
            <w:noWrap/>
            <w:tcMar>
              <w:left w:w="105" w:type="dxa"/>
              <w:right w:w="105" w:type="dxa"/>
            </w:tcMar>
            <w:vAlign w:val="center"/>
          </w:tcPr>
          <w:p w14:paraId="3C4982AE">
            <w:pPr>
              <w:pStyle w:val="25"/>
              <w:widowControl/>
              <w:wordWrap w:val="0"/>
              <w:spacing w:beforeAutospacing="0" w:afterAutospacing="0"/>
              <w:jc w:val="center"/>
              <w:rPr>
                <w:rFonts w:ascii="宋体" w:hAnsi="宋体" w:cs="宋体"/>
                <w:sz w:val="20"/>
                <w:szCs w:val="20"/>
                <w:highlight w:val="none"/>
              </w:rPr>
            </w:pPr>
            <w:r>
              <w:rPr>
                <w:rStyle w:val="31"/>
                <w:rFonts w:hint="eastAsia" w:ascii="宋体" w:hAnsi="宋体" w:cs="宋体"/>
                <w:spacing w:val="8"/>
                <w:sz w:val="20"/>
                <w:szCs w:val="20"/>
                <w:highlight w:val="none"/>
              </w:rPr>
              <w:t>微型</w:t>
            </w:r>
          </w:p>
        </w:tc>
      </w:tr>
      <w:tr w14:paraId="49517778">
        <w:tblPrEx>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B8CCE4"/>
            <w:noWrap/>
            <w:tcMar>
              <w:left w:w="105" w:type="dxa"/>
              <w:right w:w="105" w:type="dxa"/>
            </w:tcMar>
            <w:vAlign w:val="center"/>
          </w:tcPr>
          <w:p w14:paraId="6B1743BA">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农、林、牧、渔业</w:t>
            </w: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EE3847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31956F76">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05287AE">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Y≥20000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35B789C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500≤Y＜20000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29A29AD4">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50≤Y＜500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3C02303E">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Y＜50</w:t>
            </w:r>
          </w:p>
        </w:tc>
      </w:tr>
      <w:tr w14:paraId="08AF4464">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7DEEFF0B">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工业 *</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6F4E6BE">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63162BC4">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D09DAD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146187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300≤X＜1000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05BB2BB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20≤X＜300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6410B3E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X＜20</w:t>
            </w:r>
          </w:p>
        </w:tc>
      </w:tr>
      <w:tr w14:paraId="3D0C70CB">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539FB7AE">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2EF13738">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424BAD5">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617761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Y≥40000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41CF1AA7">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2000≤Y＜40000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5E0BC336">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300≤Y＜2000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F705DD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Y＜300</w:t>
            </w:r>
          </w:p>
        </w:tc>
      </w:tr>
      <w:tr w14:paraId="04AC459C">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42717B10">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建筑业</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53188E6">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395422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9EE6DA1">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Y≥80000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889DAD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6000≤Y＜80000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39EC50E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300≤Y＜6000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C3F2D5D">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Y＜300</w:t>
            </w:r>
          </w:p>
        </w:tc>
      </w:tr>
      <w:tr w14:paraId="3C1285E0">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4AC89F1A">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AC57A89">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资产总额(Z)</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52ECAA16">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49A72FF3">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Z≥80000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42BC18C5">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5000≤Z＜80000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5CF0D31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300≤Z＜5000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12F755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Z＜300</w:t>
            </w:r>
          </w:p>
        </w:tc>
      </w:tr>
      <w:tr w14:paraId="6F380A20">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5EC0C98D">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批发业</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233DC8D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31160266">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6FBF21E">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X≥200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8D389D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20≤X＜200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25B151B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5≤X＜20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E78E48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X＜5</w:t>
            </w:r>
          </w:p>
        </w:tc>
      </w:tr>
      <w:tr w14:paraId="73DEC340">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6C9993B7">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93DC037">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214BF9F">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129ADE2">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Y≥40000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5DC7DDCE">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5000≤Y＜40000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420C0B6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1000≤Y＜5000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ACA8807">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Y＜1000</w:t>
            </w:r>
          </w:p>
        </w:tc>
      </w:tr>
      <w:tr w14:paraId="47FD1B4D">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793ECA30">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零售业</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22B2464">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47C9853">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269296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351E11A7">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50≤X＜300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05CFBAF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10≤X＜50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26407DA1">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w:t>
            </w:r>
          </w:p>
        </w:tc>
      </w:tr>
      <w:tr w14:paraId="6934CD71">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3080093F">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A25F48C">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135CA93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3BD6799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Y≥20000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6A0774D">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500≤Y＜20000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2439FEF5">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100≤Y＜500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189F6D72">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w:t>
            </w:r>
          </w:p>
        </w:tc>
      </w:tr>
      <w:tr w14:paraId="0D89F52E">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0B424770">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交通运输业 *</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8218DF3">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66D85D82">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60C862B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6EB8C96">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300≤X＜1000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30DC90F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20≤X＜300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4728726">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X＜20</w:t>
            </w:r>
          </w:p>
        </w:tc>
      </w:tr>
      <w:tr w14:paraId="178E007A">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61C0A966">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4A549774">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25B5F92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144FE7F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Y≥30000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3837BA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3000≤Y＜30000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4A2189A6">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200≤Y＜3000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2A0C5936">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Y＜200</w:t>
            </w:r>
          </w:p>
        </w:tc>
      </w:tr>
      <w:tr w14:paraId="21524E1A">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30E6400B">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仓储业*</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A0CC692">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66A234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822DD6D">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X≥200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05892D11">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100≤X＜200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6E9EB1C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20≤X＜100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2C48EA37">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X＜20</w:t>
            </w:r>
          </w:p>
        </w:tc>
      </w:tr>
      <w:tr w14:paraId="3DDCEEBF">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2262A2FF">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1B558BE2">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2A6E6B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36AA0FDD">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Y≥30000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10825A1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1000≤Y＜30000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11C7C303">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100≤Y＜1000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5DE653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w:t>
            </w:r>
          </w:p>
        </w:tc>
      </w:tr>
      <w:tr w14:paraId="68A32059">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351DAB4C">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邮政业</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35124CF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34C603F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24125DF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9044E8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300≤X＜1000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BAC2CEE">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20≤X＜300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260096D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X＜20</w:t>
            </w:r>
          </w:p>
        </w:tc>
      </w:tr>
      <w:tr w14:paraId="688CDD96">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6A1C1CCE">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54FA5B7B">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55DB1AF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40E40E4">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Y≥30000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2DB2DCA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2000≤Y＜30000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4E831F2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100≤Y＜2000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2339FB35">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w:t>
            </w:r>
          </w:p>
        </w:tc>
      </w:tr>
      <w:tr w14:paraId="32C8AA5F">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53B42207">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住宿业</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C1D7CC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3724F0DE">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6D18AA0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1B1CBCE">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100≤X＜300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225754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0E7FA90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w:t>
            </w:r>
          </w:p>
        </w:tc>
      </w:tr>
      <w:tr w14:paraId="7011FD11">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0F593B05">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37FE2C67">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498A4F6">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1AD39C2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5133A945">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2000≤Y＜10000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A137DC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100≤Y＜2000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762D1F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w:t>
            </w:r>
          </w:p>
        </w:tc>
      </w:tr>
      <w:tr w14:paraId="058E761C">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42B1DD8D">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餐饮业</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649A14E3">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60E06BA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A762BE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74B207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100≤X＜300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B4B06F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0B04700F">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w:t>
            </w:r>
          </w:p>
        </w:tc>
      </w:tr>
      <w:tr w14:paraId="324A679E">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18427E87">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178970C2">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2DDC962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103272B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AC0356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2000≤Y＜10000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12EAFCE7">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100≤Y＜2000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51FD847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w:t>
            </w:r>
          </w:p>
        </w:tc>
      </w:tr>
      <w:tr w14:paraId="50A55847">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3770763C">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信息传输业 *</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B4BB8D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B6B46CF">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3CECB0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X≥2000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10FD0FD">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100≤X＜2000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E20C18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15712F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w:t>
            </w:r>
          </w:p>
        </w:tc>
      </w:tr>
      <w:tr w14:paraId="18F47CA0">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01E6B4EA">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D86663B">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2D5A031">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A16FBD5">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7D0219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1000≤Y＜100000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60E8AA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100≤Y＜1000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221BB2A7">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w:t>
            </w:r>
          </w:p>
        </w:tc>
      </w:tr>
      <w:tr w14:paraId="3CE218B3">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7EA60409">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15"/>
                <w:sz w:val="20"/>
                <w:szCs w:val="20"/>
                <w:highlight w:val="none"/>
              </w:rPr>
              <w:t>软件和信息技术服</w:t>
            </w:r>
            <w:r>
              <w:rPr>
                <w:rFonts w:hint="eastAsia" w:ascii="宋体" w:hAnsi="宋体" w:cs="宋体"/>
                <w:spacing w:val="8"/>
                <w:sz w:val="20"/>
                <w:szCs w:val="20"/>
                <w:highlight w:val="none"/>
              </w:rPr>
              <w:t>务业</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25F3C6D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2F2F46B7">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87C15A3">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9D914F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100≤X＜300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DC6525F">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C66AC5D">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w:t>
            </w:r>
          </w:p>
        </w:tc>
      </w:tr>
      <w:tr w14:paraId="68ACB30A">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52B9D3BE">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5498803">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385A8BB1">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5A09652F">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7A4715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1000≤Y＜10000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2E46688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50≤Y＜1000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4B5D4CC7">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Y＜50</w:t>
            </w:r>
          </w:p>
        </w:tc>
      </w:tr>
      <w:tr w14:paraId="04170552">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75574489">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房地产开发经营</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37CB2CDF">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9C1DFA7">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098F92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Y≥200000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6C694FEE">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1000≤Y＜200000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3566CB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100≤Y＜1000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CB969A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Y＜100</w:t>
            </w:r>
          </w:p>
        </w:tc>
      </w:tr>
      <w:tr w14:paraId="475E8E7C">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08D0729D">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205B9F76">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资产总额(Z)</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95E133B">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384CD29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Z≥10000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9841BF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5000≤Z＜10000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58A5197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2000≤Z＜5000   </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CD9BD8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Z＜2000</w:t>
            </w:r>
          </w:p>
        </w:tc>
      </w:tr>
      <w:tr w14:paraId="7A27EE83">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131EA6A4">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物业管理</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3BA72261">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67281D62">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294F6CF">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02D7A31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300≤X＜1000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9C0168F">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100≤X＜300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0AB9ADF">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X＜100</w:t>
            </w:r>
          </w:p>
        </w:tc>
      </w:tr>
      <w:tr w14:paraId="5A5FCBBB">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3ACFEDCF">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5E15A64D">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营业收入(Y)</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E96089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2635B8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Y≥5000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0E835D1">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1000≤Y＜5000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5E3B6AE">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500≤Y＜1000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4FBC817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Y＜500</w:t>
            </w:r>
          </w:p>
        </w:tc>
      </w:tr>
      <w:tr w14:paraId="7EA9A821">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22E57922">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租赁和商务服务业</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4BEC84D">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74DA8F2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2A9D2E1D">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6867F50">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100≤X＜300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3C803A1">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1C7C777C">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w:t>
            </w:r>
          </w:p>
        </w:tc>
      </w:tr>
      <w:tr w14:paraId="74FE48A6">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75087529">
            <w:pPr>
              <w:rPr>
                <w:rFonts w:ascii="宋体" w:hAnsi="宋体" w:cs="宋体"/>
                <w:spacing w:val="8"/>
                <w:sz w:val="20"/>
                <w:szCs w:val="20"/>
                <w:highlight w:val="none"/>
              </w:rPr>
            </w:pPr>
          </w:p>
        </w:tc>
        <w:tc>
          <w:tcPr>
            <w:tcW w:w="136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8966820">
            <w:pPr>
              <w:pStyle w:val="25"/>
              <w:widowControl/>
              <w:wordWrap w:val="0"/>
              <w:spacing w:beforeAutospacing="0" w:afterAutospacing="0" w:line="240" w:lineRule="atLeast"/>
              <w:jc w:val="center"/>
              <w:rPr>
                <w:rFonts w:ascii="宋体" w:hAnsi="宋体" w:cs="宋体"/>
                <w:sz w:val="20"/>
                <w:szCs w:val="20"/>
                <w:highlight w:val="none"/>
              </w:rPr>
            </w:pPr>
            <w:r>
              <w:rPr>
                <w:rFonts w:hint="eastAsia" w:ascii="宋体" w:hAnsi="宋体" w:cs="宋体"/>
                <w:spacing w:val="8"/>
                <w:sz w:val="20"/>
                <w:szCs w:val="20"/>
                <w:highlight w:val="none"/>
              </w:rPr>
              <w:t>资产总额(Z)</w:t>
            </w:r>
          </w:p>
        </w:tc>
        <w:tc>
          <w:tcPr>
            <w:tcW w:w="70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0A5F1FC9">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万元</w:t>
            </w:r>
          </w:p>
        </w:tc>
        <w:tc>
          <w:tcPr>
            <w:tcW w:w="11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7466C6B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Z≥120000</w:t>
            </w:r>
          </w:p>
        </w:tc>
        <w:tc>
          <w:tcPr>
            <w:tcW w:w="169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4DD00935">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8000≤Z＜120000</w:t>
            </w:r>
          </w:p>
        </w:tc>
        <w:tc>
          <w:tcPr>
            <w:tcW w:w="1425"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D67524E">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100≤Z＜8000</w:t>
            </w:r>
          </w:p>
        </w:tc>
        <w:tc>
          <w:tcPr>
            <w:tcW w:w="990" w:type="dxa"/>
            <w:tcBorders>
              <w:top w:val="nil"/>
              <w:left w:val="nil"/>
              <w:bottom w:val="single" w:color="4F81BD" w:sz="6" w:space="0"/>
              <w:right w:val="single" w:color="4F81BD" w:sz="6" w:space="0"/>
            </w:tcBorders>
            <w:shd w:val="clear" w:color="auto" w:fill="B8CCE4"/>
            <w:noWrap/>
            <w:tcMar>
              <w:left w:w="105" w:type="dxa"/>
              <w:right w:w="105" w:type="dxa"/>
            </w:tcMar>
            <w:vAlign w:val="center"/>
          </w:tcPr>
          <w:p w14:paraId="6E2420C7">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Z＜100</w:t>
            </w:r>
          </w:p>
        </w:tc>
      </w:tr>
      <w:tr w14:paraId="5D4D3733">
        <w:tblPrEx>
          <w:shd w:val="clear" w:color="auto" w:fill="FFFFFF"/>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FFFFFF"/>
            <w:noWrap/>
            <w:tcMar>
              <w:left w:w="105" w:type="dxa"/>
              <w:right w:w="105" w:type="dxa"/>
            </w:tcMar>
            <w:vAlign w:val="center"/>
          </w:tcPr>
          <w:p w14:paraId="2E43E76B">
            <w:pPr>
              <w:pStyle w:val="25"/>
              <w:widowControl/>
              <w:wordWrap w:val="0"/>
              <w:spacing w:beforeAutospacing="0" w:afterAutospacing="0" w:line="240" w:lineRule="atLeast"/>
              <w:jc w:val="both"/>
              <w:rPr>
                <w:rFonts w:ascii="宋体" w:hAnsi="宋体" w:cs="宋体"/>
                <w:sz w:val="20"/>
                <w:szCs w:val="20"/>
                <w:highlight w:val="none"/>
              </w:rPr>
            </w:pPr>
            <w:r>
              <w:rPr>
                <w:rFonts w:hint="eastAsia" w:ascii="宋体" w:hAnsi="宋体" w:cs="宋体"/>
                <w:spacing w:val="8"/>
                <w:sz w:val="20"/>
                <w:szCs w:val="20"/>
                <w:highlight w:val="none"/>
              </w:rPr>
              <w:t>其他未列明行业 *</w:t>
            </w:r>
          </w:p>
        </w:tc>
        <w:tc>
          <w:tcPr>
            <w:tcW w:w="136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02568F8A">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从业人员(X)</w:t>
            </w:r>
          </w:p>
        </w:tc>
        <w:tc>
          <w:tcPr>
            <w:tcW w:w="70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4A8E076">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人</w:t>
            </w:r>
          </w:p>
        </w:tc>
        <w:tc>
          <w:tcPr>
            <w:tcW w:w="11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BFB0517">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X≥300</w:t>
            </w:r>
          </w:p>
        </w:tc>
        <w:tc>
          <w:tcPr>
            <w:tcW w:w="169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5816EC41">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100≤X＜300</w:t>
            </w:r>
          </w:p>
        </w:tc>
        <w:tc>
          <w:tcPr>
            <w:tcW w:w="1425"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AE9B015">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 10≤X＜100</w:t>
            </w:r>
          </w:p>
        </w:tc>
        <w:tc>
          <w:tcPr>
            <w:tcW w:w="990" w:type="dxa"/>
            <w:tcBorders>
              <w:top w:val="nil"/>
              <w:left w:val="nil"/>
              <w:bottom w:val="single" w:color="4F81BD" w:sz="6" w:space="0"/>
              <w:right w:val="single" w:color="4F81BD" w:sz="6" w:space="0"/>
            </w:tcBorders>
            <w:shd w:val="clear" w:color="auto" w:fill="FFFFFF"/>
            <w:noWrap/>
            <w:tcMar>
              <w:left w:w="105" w:type="dxa"/>
              <w:right w:w="105" w:type="dxa"/>
            </w:tcMar>
            <w:vAlign w:val="center"/>
          </w:tcPr>
          <w:p w14:paraId="4F7CE038">
            <w:pPr>
              <w:pStyle w:val="25"/>
              <w:widowControl/>
              <w:wordWrap w:val="0"/>
              <w:spacing w:beforeAutospacing="0" w:afterAutospacing="0"/>
              <w:jc w:val="center"/>
              <w:rPr>
                <w:rFonts w:ascii="宋体" w:hAnsi="宋体" w:cs="宋体"/>
                <w:sz w:val="20"/>
                <w:szCs w:val="20"/>
                <w:highlight w:val="none"/>
              </w:rPr>
            </w:pPr>
            <w:r>
              <w:rPr>
                <w:rFonts w:hint="eastAsia" w:ascii="宋体" w:hAnsi="宋体" w:cs="宋体"/>
                <w:spacing w:val="8"/>
                <w:sz w:val="20"/>
                <w:szCs w:val="20"/>
                <w:highlight w:val="none"/>
              </w:rPr>
              <w:t>X＜10</w:t>
            </w:r>
          </w:p>
        </w:tc>
      </w:tr>
    </w:tbl>
    <w:p w14:paraId="5453BCA9">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spacing w:val="15"/>
          <w:sz w:val="21"/>
          <w:szCs w:val="21"/>
          <w:highlight w:val="none"/>
        </w:rPr>
      </w:pPr>
      <w:r>
        <w:rPr>
          <w:rFonts w:hint="eastAsia" w:ascii="宋体" w:hAnsi="宋体" w:eastAsia="宋体" w:cs="宋体"/>
          <w:spacing w:val="15"/>
          <w:sz w:val="21"/>
          <w:szCs w:val="21"/>
          <w:highlight w:val="none"/>
        </w:rPr>
        <w:t>说明：1.大型、中型和小型企业须同时满足所列指标的下限，否则下划一档；微型企业只须满足所列指标中的一项即可。</w:t>
      </w:r>
    </w:p>
    <w:p w14:paraId="772B2847">
      <w:pPr>
        <w:keepNext w:val="0"/>
        <w:keepLines w:val="0"/>
        <w:pageBreakBefore w:val="0"/>
        <w:widowControl w:val="0"/>
        <w:numPr>
          <w:ilvl w:val="0"/>
          <w:numId w:val="38"/>
        </w:numPr>
        <w:kinsoku/>
        <w:wordWrap/>
        <w:overflowPunct/>
        <w:topLinePunct w:val="0"/>
        <w:bidi w:val="0"/>
        <w:snapToGrid/>
        <w:spacing w:line="400" w:lineRule="exact"/>
        <w:ind w:firstLine="480" w:firstLineChars="200"/>
        <w:textAlignment w:val="auto"/>
        <w:rPr>
          <w:rFonts w:hint="eastAsia" w:ascii="宋体" w:hAnsi="宋体" w:eastAsia="宋体" w:cs="宋体"/>
          <w:spacing w:val="15"/>
          <w:sz w:val="21"/>
          <w:szCs w:val="21"/>
          <w:highlight w:val="none"/>
        </w:rPr>
      </w:pPr>
      <w:r>
        <w:rPr>
          <w:rFonts w:hint="eastAsia" w:ascii="宋体" w:hAnsi="宋体" w:eastAsia="宋体" w:cs="宋体"/>
          <w:spacing w:val="15"/>
          <w:sz w:val="21"/>
          <w:szCs w:val="21"/>
          <w:highlight w:val="none"/>
        </w:rPr>
        <w:t>附表中各行业的范围以《国民经济行业分类》（GB/T4754-2017）为准。</w:t>
      </w:r>
      <w:r>
        <w:rPr>
          <w:rFonts w:hint="eastAsia" w:ascii="宋体" w:hAnsi="宋体" w:eastAsia="宋体" w:cs="宋体"/>
          <w:b/>
          <w:bCs/>
          <w:spacing w:val="15"/>
          <w:sz w:val="21"/>
          <w:szCs w:val="21"/>
          <w:highlight w:val="none"/>
        </w:rPr>
        <w:t>带*的项为行业组合类别</w:t>
      </w:r>
      <w:r>
        <w:rPr>
          <w:rFonts w:hint="eastAsia" w:ascii="宋体" w:hAnsi="宋体" w:eastAsia="宋体" w:cs="宋体"/>
          <w:spacing w:val="15"/>
          <w:sz w:val="21"/>
          <w:szCs w:val="21"/>
          <w:highlight w:val="none"/>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88F4A0E">
      <w:pPr>
        <w:keepNext w:val="0"/>
        <w:keepLines w:val="0"/>
        <w:pageBreakBefore w:val="0"/>
        <w:widowControl w:val="0"/>
        <w:numPr>
          <w:ilvl w:val="0"/>
          <w:numId w:val="38"/>
        </w:numPr>
        <w:kinsoku/>
        <w:wordWrap/>
        <w:overflowPunct/>
        <w:topLinePunct w:val="0"/>
        <w:bidi w:val="0"/>
        <w:snapToGrid/>
        <w:spacing w:line="400" w:lineRule="exact"/>
        <w:ind w:firstLine="480" w:firstLineChars="200"/>
        <w:textAlignment w:val="auto"/>
        <w:rPr>
          <w:rFonts w:hint="eastAsia" w:ascii="宋体" w:hAnsi="宋体" w:eastAsia="宋体" w:cs="宋体"/>
          <w:spacing w:val="15"/>
          <w:sz w:val="21"/>
          <w:szCs w:val="21"/>
          <w:highlight w:val="none"/>
        </w:rPr>
      </w:pPr>
      <w:r>
        <w:rPr>
          <w:rFonts w:hint="eastAsia" w:ascii="宋体" w:hAnsi="宋体" w:eastAsia="宋体" w:cs="宋体"/>
          <w:spacing w:val="15"/>
          <w:sz w:val="21"/>
          <w:szCs w:val="21"/>
          <w:highlight w:val="none"/>
        </w:rPr>
        <w:t>企业划分指标以现行统计制度为准。</w:t>
      </w:r>
    </w:p>
    <w:p w14:paraId="2940535A">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pacing w:val="15"/>
          <w:sz w:val="21"/>
          <w:szCs w:val="21"/>
          <w:highlight w:val="none"/>
        </w:rPr>
      </w:pPr>
      <w:r>
        <w:rPr>
          <w:rFonts w:hint="eastAsia" w:ascii="宋体" w:hAnsi="宋体" w:eastAsia="宋体" w:cs="宋体"/>
          <w:spacing w:val="15"/>
          <w:sz w:val="21"/>
          <w:szCs w:val="21"/>
          <w:highlight w:val="none"/>
        </w:rPr>
        <w:t>（1）从业人员，是指期末从业人员数，没有期末从业人员数的，采用全年平均人员数代替。</w:t>
      </w:r>
    </w:p>
    <w:p w14:paraId="6023ADB9">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pacing w:val="15"/>
          <w:sz w:val="21"/>
          <w:szCs w:val="21"/>
          <w:highlight w:val="none"/>
        </w:rPr>
      </w:pPr>
      <w:r>
        <w:rPr>
          <w:rFonts w:hint="eastAsia" w:ascii="宋体" w:hAnsi="宋体" w:eastAsia="宋体" w:cs="宋体"/>
          <w:spacing w:val="15"/>
          <w:sz w:val="21"/>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3E94D17D">
      <w:pPr>
        <w:pStyle w:val="41"/>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（3）资产总额，采用资产总计代替。</w:t>
      </w:r>
    </w:p>
    <w:p w14:paraId="765F2EA8">
      <w:pPr>
        <w:pStyle w:val="116"/>
        <w:rPr>
          <w:rFonts w:hint="eastAsia"/>
          <w:highlight w:val="none"/>
        </w:rPr>
      </w:pPr>
    </w:p>
    <w:p w14:paraId="392ECB30">
      <w:pPr>
        <w:spacing w:line="360" w:lineRule="auto"/>
        <w:rPr>
          <w:rFonts w:hint="eastAsia" w:ascii="宋体" w:hAnsi="宋体" w:cs="宋体"/>
          <w:b/>
          <w:bCs/>
          <w:sz w:val="28"/>
          <w:szCs w:val="28"/>
          <w:highlight w:val="none"/>
        </w:rPr>
      </w:pPr>
    </w:p>
    <w:p w14:paraId="564BC97D">
      <w:pPr>
        <w:spacing w:line="360" w:lineRule="auto"/>
        <w:jc w:val="center"/>
        <w:rPr>
          <w:rFonts w:hint="eastAsia" w:ascii="宋体" w:hAnsi="宋体" w:cs="宋体"/>
          <w:b/>
          <w:bCs/>
          <w:sz w:val="28"/>
          <w:szCs w:val="28"/>
          <w:highlight w:val="none"/>
        </w:rPr>
      </w:pPr>
    </w:p>
    <w:p w14:paraId="74E1BD69">
      <w:pPr>
        <w:spacing w:line="360" w:lineRule="auto"/>
        <w:jc w:val="center"/>
        <w:rPr>
          <w:rFonts w:hint="eastAsia" w:ascii="宋体" w:hAnsi="宋体" w:cs="宋体"/>
          <w:b/>
          <w:bCs/>
          <w:sz w:val="28"/>
          <w:szCs w:val="28"/>
          <w:highlight w:val="none"/>
        </w:rPr>
      </w:pPr>
    </w:p>
    <w:p w14:paraId="635EEB81">
      <w:pPr>
        <w:pStyle w:val="3"/>
        <w:rPr>
          <w:rFonts w:hint="eastAsia" w:ascii="宋体" w:hAnsi="宋体" w:cs="宋体"/>
          <w:b/>
          <w:bCs/>
          <w:sz w:val="28"/>
          <w:szCs w:val="28"/>
          <w:highlight w:val="none"/>
        </w:rPr>
      </w:pPr>
    </w:p>
    <w:p w14:paraId="12F46579">
      <w:pPr>
        <w:rPr>
          <w:rFonts w:hint="eastAsia"/>
          <w:b/>
          <w:sz w:val="24"/>
          <w:szCs w:val="24"/>
          <w:highlight w:val="none"/>
          <w:lang w:val="en-US" w:eastAsia="zh-CN"/>
        </w:rPr>
      </w:pPr>
      <w:r>
        <w:rPr>
          <w:rFonts w:hint="eastAsia"/>
          <w:b/>
          <w:sz w:val="24"/>
          <w:szCs w:val="24"/>
          <w:highlight w:val="none"/>
          <w:lang w:val="en-US" w:eastAsia="zh-CN"/>
        </w:rPr>
        <w:br w:type="page"/>
      </w:r>
    </w:p>
    <w:p w14:paraId="4DC68F2F">
      <w:pPr>
        <w:spacing w:line="360" w:lineRule="auto"/>
        <w:jc w:val="center"/>
        <w:outlineLvl w:val="2"/>
        <w:rPr>
          <w:rFonts w:hint="eastAsia"/>
          <w:b/>
          <w:sz w:val="24"/>
          <w:szCs w:val="24"/>
          <w:highlight w:val="none"/>
          <w:lang w:val="en-US" w:eastAsia="zh-CN"/>
        </w:rPr>
      </w:pPr>
      <w:r>
        <w:rPr>
          <w:rFonts w:hint="eastAsia"/>
          <w:b/>
          <w:sz w:val="24"/>
          <w:szCs w:val="24"/>
          <w:highlight w:val="none"/>
          <w:lang w:val="en-US" w:eastAsia="zh-CN"/>
        </w:rPr>
        <w:t>附件 2：残疾人福利性单位声明函</w:t>
      </w:r>
    </w:p>
    <w:p w14:paraId="34BDF632">
      <w:pPr>
        <w:keepNext w:val="0"/>
        <w:keepLines w:val="0"/>
        <w:widowControl/>
        <w:suppressLineNumbers w:val="0"/>
        <w:spacing w:line="360" w:lineRule="auto"/>
        <w:jc w:val="left"/>
        <w:rPr>
          <w:rFonts w:hint="eastAsia" w:ascii="宋体" w:hAnsi="宋体" w:eastAsia="宋体" w:cs="宋体"/>
          <w:b/>
          <w:bCs/>
          <w:color w:val="000000"/>
          <w:kern w:val="0"/>
          <w:sz w:val="28"/>
          <w:szCs w:val="28"/>
          <w:highlight w:val="none"/>
          <w:lang w:val="en-US" w:eastAsia="zh-CN" w:bidi="ar"/>
        </w:rPr>
      </w:pPr>
    </w:p>
    <w:p w14:paraId="0AE95C41">
      <w:pPr>
        <w:keepNext w:val="0"/>
        <w:keepLines w:val="0"/>
        <w:widowControl/>
        <w:suppressLineNumbers w:val="0"/>
        <w:spacing w:line="48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本单位郑重声明， 根据《财政部 民政部 中国残疾人联合会关于促进残疾人 就业政府采购政策的通知》(财库〔2017〕141号)的规定，本单位为符合条件 的残疾人福利性单位， 且本单位参加</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单位的</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项目采购活动提供本单 位制造的货物(由本单位承担工程/提供服务)，或者提供其他残疾人福利性单 位制造的货物(不包括使用非残疾人福利性单位注册商标的货物)。</w:t>
      </w:r>
    </w:p>
    <w:p w14:paraId="58FB3398">
      <w:pPr>
        <w:keepNext w:val="0"/>
        <w:keepLines w:val="0"/>
        <w:widowControl/>
        <w:suppressLineNumbers w:val="0"/>
        <w:spacing w:line="48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本单位对上述声明的真实性负责。如有虚假，将依法承担相应责任。</w:t>
      </w:r>
    </w:p>
    <w:p w14:paraId="3FB325B6">
      <w:pPr>
        <w:keepNext w:val="0"/>
        <w:keepLines w:val="0"/>
        <w:widowControl/>
        <w:suppressLineNumbers w:val="0"/>
        <w:spacing w:line="360" w:lineRule="auto"/>
        <w:ind w:firstLine="3360" w:firstLineChars="1400"/>
        <w:jc w:val="left"/>
        <w:rPr>
          <w:rFonts w:hint="eastAsia" w:ascii="宋体" w:hAnsi="宋体" w:eastAsia="宋体" w:cs="宋体"/>
          <w:color w:val="000000"/>
          <w:kern w:val="0"/>
          <w:sz w:val="24"/>
          <w:szCs w:val="24"/>
          <w:highlight w:val="none"/>
          <w:lang w:val="en-US" w:eastAsia="zh-CN" w:bidi="ar"/>
        </w:rPr>
      </w:pPr>
    </w:p>
    <w:p w14:paraId="0B612D91">
      <w:pPr>
        <w:keepNext w:val="0"/>
        <w:keepLines w:val="0"/>
        <w:widowControl/>
        <w:suppressLineNumbers w:val="0"/>
        <w:spacing w:line="360" w:lineRule="auto"/>
        <w:ind w:firstLine="3360" w:firstLineChars="1400"/>
        <w:jc w:val="left"/>
        <w:rPr>
          <w:rFonts w:hint="eastAsia" w:ascii="宋体" w:hAnsi="宋体" w:eastAsia="宋体" w:cs="宋体"/>
          <w:color w:val="000000"/>
          <w:kern w:val="0"/>
          <w:sz w:val="24"/>
          <w:szCs w:val="24"/>
          <w:highlight w:val="none"/>
          <w:lang w:val="en-US" w:eastAsia="zh-CN" w:bidi="ar"/>
        </w:rPr>
      </w:pPr>
    </w:p>
    <w:p w14:paraId="3240FC3C">
      <w:pPr>
        <w:keepNext w:val="0"/>
        <w:keepLines w:val="0"/>
        <w:widowControl/>
        <w:suppressLineNumbers w:val="0"/>
        <w:spacing w:line="360" w:lineRule="auto"/>
        <w:ind w:firstLine="3360" w:firstLineChars="1400"/>
        <w:jc w:val="left"/>
        <w:rPr>
          <w:rFonts w:hint="eastAsia" w:ascii="宋体" w:hAnsi="宋体" w:eastAsia="宋体" w:cs="宋体"/>
          <w:color w:val="000000"/>
          <w:kern w:val="0"/>
          <w:sz w:val="24"/>
          <w:szCs w:val="24"/>
          <w:highlight w:val="none"/>
          <w:lang w:val="en-US" w:eastAsia="zh-CN" w:bidi="ar"/>
        </w:rPr>
      </w:pPr>
    </w:p>
    <w:p w14:paraId="0434CA66">
      <w:pPr>
        <w:keepNext w:val="0"/>
        <w:keepLines w:val="0"/>
        <w:widowControl/>
        <w:suppressLineNumbers w:val="0"/>
        <w:spacing w:line="360" w:lineRule="auto"/>
        <w:ind w:firstLine="3360" w:firstLineChars="1400"/>
        <w:jc w:val="left"/>
        <w:rPr>
          <w:rFonts w:hint="eastAsia" w:ascii="宋体" w:hAnsi="宋体" w:eastAsia="宋体" w:cs="宋体"/>
          <w:color w:val="000000"/>
          <w:kern w:val="0"/>
          <w:sz w:val="24"/>
          <w:szCs w:val="24"/>
          <w:highlight w:val="none"/>
          <w:lang w:val="en-US" w:eastAsia="zh-CN" w:bidi="ar"/>
        </w:rPr>
      </w:pPr>
    </w:p>
    <w:p w14:paraId="78DA9F77">
      <w:pPr>
        <w:keepNext w:val="0"/>
        <w:keepLines w:val="0"/>
        <w:widowControl/>
        <w:suppressLineNumbers w:val="0"/>
        <w:spacing w:line="360" w:lineRule="auto"/>
        <w:ind w:firstLine="3360" w:firstLineChars="1400"/>
        <w:jc w:val="left"/>
        <w:rPr>
          <w:sz w:val="22"/>
          <w:szCs w:val="28"/>
          <w:highlight w:val="none"/>
        </w:rPr>
      </w:pPr>
      <w:r>
        <w:rPr>
          <w:rFonts w:hint="eastAsia" w:ascii="宋体" w:hAnsi="宋体" w:eastAsia="宋体" w:cs="宋体"/>
          <w:color w:val="000000"/>
          <w:kern w:val="0"/>
          <w:sz w:val="24"/>
          <w:szCs w:val="24"/>
          <w:highlight w:val="none"/>
          <w:lang w:val="en-US" w:eastAsia="zh-CN" w:bidi="ar"/>
        </w:rPr>
        <w:t xml:space="preserve">企业名称（盖章）： </w:t>
      </w:r>
    </w:p>
    <w:p w14:paraId="2D28DD0B">
      <w:pPr>
        <w:keepNext w:val="0"/>
        <w:keepLines w:val="0"/>
        <w:widowControl/>
        <w:suppressLineNumbers w:val="0"/>
        <w:spacing w:line="360" w:lineRule="auto"/>
        <w:ind w:firstLine="3600" w:firstLineChars="1500"/>
        <w:jc w:val="left"/>
        <w:rPr>
          <w:sz w:val="22"/>
          <w:szCs w:val="28"/>
          <w:highlight w:val="none"/>
        </w:rPr>
      </w:pPr>
      <w:r>
        <w:rPr>
          <w:rFonts w:hint="eastAsia" w:ascii="宋体" w:hAnsi="宋体" w:eastAsia="宋体" w:cs="宋体"/>
          <w:color w:val="000000"/>
          <w:kern w:val="0"/>
          <w:sz w:val="24"/>
          <w:szCs w:val="24"/>
          <w:highlight w:val="none"/>
          <w:lang w:val="en-US" w:eastAsia="zh-CN" w:bidi="ar"/>
        </w:rPr>
        <w:t>日 期</w:t>
      </w:r>
    </w:p>
    <w:p w14:paraId="7A73C37C">
      <w:pPr>
        <w:keepNext w:val="0"/>
        <w:keepLines w:val="0"/>
        <w:widowControl/>
        <w:suppressLineNumbers w:val="0"/>
        <w:spacing w:line="360" w:lineRule="auto"/>
        <w:jc w:val="left"/>
        <w:rPr>
          <w:rFonts w:hint="eastAsia" w:ascii="宋体" w:hAnsi="宋体" w:eastAsia="宋体" w:cs="宋体"/>
          <w:b/>
          <w:bCs/>
          <w:color w:val="000000"/>
          <w:kern w:val="0"/>
          <w:sz w:val="28"/>
          <w:szCs w:val="28"/>
          <w:highlight w:val="none"/>
          <w:lang w:val="en-US" w:eastAsia="zh-CN" w:bidi="ar"/>
        </w:rPr>
      </w:pPr>
    </w:p>
    <w:p w14:paraId="223031E6">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258B8631">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6BDA090D">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0A46BF73">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4892253B">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7A92AEA9">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44597BBD">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02FF46D3">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3DA3D7C4">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084A45A7">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2692176D">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4FE6A365">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1FD4B3B3">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41A888A6">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593AF350">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4B3088A9">
      <w:pPr>
        <w:keepNext w:val="0"/>
        <w:keepLines w:val="0"/>
        <w:widowControl/>
        <w:suppressLineNumbers w:val="0"/>
        <w:jc w:val="left"/>
        <w:rPr>
          <w:rFonts w:hint="eastAsia" w:ascii="宋体" w:hAnsi="宋体" w:eastAsia="宋体" w:cs="宋体"/>
          <w:b/>
          <w:bCs/>
          <w:color w:val="000000"/>
          <w:kern w:val="0"/>
          <w:sz w:val="24"/>
          <w:szCs w:val="24"/>
          <w:highlight w:val="none"/>
          <w:lang w:val="en-US" w:eastAsia="zh-CN" w:bidi="ar"/>
        </w:rPr>
      </w:pPr>
    </w:p>
    <w:p w14:paraId="28E675A0">
      <w:pPr>
        <w:rPr>
          <w:rFonts w:hint="eastAsia"/>
          <w:b/>
          <w:sz w:val="24"/>
          <w:szCs w:val="24"/>
          <w:highlight w:val="none"/>
          <w:lang w:val="en-US" w:eastAsia="zh-CN"/>
        </w:rPr>
      </w:pPr>
      <w:r>
        <w:rPr>
          <w:rFonts w:hint="eastAsia"/>
          <w:b/>
          <w:sz w:val="24"/>
          <w:szCs w:val="24"/>
          <w:highlight w:val="none"/>
          <w:lang w:val="en-US" w:eastAsia="zh-CN"/>
        </w:rPr>
        <w:br w:type="page"/>
      </w:r>
    </w:p>
    <w:p w14:paraId="1DE99BED">
      <w:pPr>
        <w:spacing w:line="360" w:lineRule="auto"/>
        <w:jc w:val="center"/>
        <w:outlineLvl w:val="2"/>
        <w:rPr>
          <w:rFonts w:hint="eastAsia"/>
          <w:b/>
          <w:sz w:val="24"/>
          <w:szCs w:val="24"/>
          <w:highlight w:val="none"/>
          <w:lang w:val="en-US" w:eastAsia="zh-CN"/>
        </w:rPr>
      </w:pPr>
      <w:r>
        <w:rPr>
          <w:rFonts w:hint="eastAsia"/>
          <w:b/>
          <w:sz w:val="24"/>
          <w:szCs w:val="24"/>
          <w:highlight w:val="none"/>
          <w:lang w:val="en-US" w:eastAsia="zh-CN"/>
        </w:rPr>
        <w:t>附件 3：省级以上监狱管理局、戒毒管理局(含新疆生产建设兵团) 出具的属于监狱企业的证明文件</w:t>
      </w:r>
    </w:p>
    <w:p w14:paraId="33534976">
      <w:pPr>
        <w:keepNext w:val="0"/>
        <w:keepLines w:val="0"/>
        <w:widowControl/>
        <w:suppressLineNumbers w:val="0"/>
        <w:jc w:val="left"/>
        <w:rPr>
          <w:rFonts w:ascii="仿宋" w:hAnsi="仿宋" w:eastAsia="仿宋" w:cs="仿宋"/>
          <w:spacing w:val="13"/>
          <w:sz w:val="27"/>
          <w:szCs w:val="27"/>
          <w:highlight w:val="none"/>
          <w14:textOutline w14:w="4419" w14:cap="rnd" w14:cmpd="sng">
            <w14:solidFill>
              <w14:srgbClr w14:val="000000"/>
            </w14:solidFill>
            <w14:prstDash w14:val="solid"/>
            <w14:round/>
          </w14:textOutline>
        </w:rPr>
      </w:pPr>
    </w:p>
    <w:p w14:paraId="3519AA4A">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（如是请出具）</w:t>
      </w:r>
    </w:p>
    <w:p w14:paraId="6B97D269">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6D56E714">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5E1A3138">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58E4A52D">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62AB0A0E">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2ED6AC45">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5D5CD19F">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4E6464D6">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7B089C35">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01392AE8">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15013129">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7D75B224">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3197CDC0">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25A4E79E">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4C1FCE4E">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1A3D7C01">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7D03A9D2">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0BE72C73">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01972129">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3255AC0D">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47F650E1">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7948946F">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14F6F572">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65FB4783">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3ED79EE9">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2435B5CB">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2CF062CE">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06BB52B3">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587948D9">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11A757EE">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1CBF7DF7">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367E8A73">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0ACF8D59">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1A7AAEC8">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775823AF">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32A8415C">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10673D99">
      <w:pPr>
        <w:keepNext w:val="0"/>
        <w:keepLines w:val="0"/>
        <w:widowControl/>
        <w:suppressLineNumbers w:val="0"/>
        <w:jc w:val="center"/>
        <w:rPr>
          <w:rFonts w:hint="eastAsia" w:ascii="宋体" w:hAnsi="宋体" w:eastAsia="宋体" w:cs="宋体"/>
          <w:b/>
          <w:bCs/>
          <w:color w:val="000000"/>
          <w:kern w:val="0"/>
          <w:sz w:val="24"/>
          <w:szCs w:val="24"/>
          <w:highlight w:val="none"/>
          <w:lang w:val="en-US" w:eastAsia="zh-CN" w:bidi="ar"/>
        </w:rPr>
      </w:pPr>
    </w:p>
    <w:p w14:paraId="7CFC9525">
      <w:pPr>
        <w:keepNext w:val="0"/>
        <w:keepLines w:val="0"/>
        <w:widowControl/>
        <w:suppressLineNumbers w:val="0"/>
        <w:jc w:val="both"/>
        <w:rPr>
          <w:rFonts w:hint="eastAsia" w:ascii="宋体" w:hAnsi="宋体" w:eastAsia="宋体" w:cs="宋体"/>
          <w:b/>
          <w:bCs/>
          <w:color w:val="000000"/>
          <w:kern w:val="0"/>
          <w:sz w:val="24"/>
          <w:szCs w:val="24"/>
          <w:highlight w:val="none"/>
          <w:lang w:val="en-US" w:eastAsia="zh-CN" w:bidi="ar"/>
        </w:rPr>
      </w:pPr>
    </w:p>
    <w:p w14:paraId="0A7F90B4">
      <w:pPr>
        <w:keepNext w:val="0"/>
        <w:keepLines w:val="0"/>
        <w:widowControl/>
        <w:suppressLineNumbers w:val="0"/>
        <w:jc w:val="both"/>
        <w:rPr>
          <w:rFonts w:hint="eastAsia" w:ascii="宋体" w:hAnsi="宋体" w:eastAsia="宋体" w:cs="宋体"/>
          <w:b/>
          <w:bCs/>
          <w:color w:val="000000"/>
          <w:kern w:val="0"/>
          <w:sz w:val="24"/>
          <w:szCs w:val="24"/>
          <w:highlight w:val="none"/>
          <w:lang w:val="en-US" w:eastAsia="zh-CN" w:bidi="ar"/>
        </w:rPr>
      </w:pPr>
    </w:p>
    <w:p w14:paraId="23A3BB00">
      <w:pPr>
        <w:spacing w:line="360" w:lineRule="auto"/>
        <w:jc w:val="center"/>
        <w:outlineLvl w:val="2"/>
        <w:rPr>
          <w:rFonts w:hint="eastAsia"/>
          <w:b/>
          <w:sz w:val="24"/>
          <w:szCs w:val="24"/>
          <w:highlight w:val="none"/>
          <w:lang w:val="en-US" w:eastAsia="zh-CN"/>
        </w:rPr>
      </w:pPr>
      <w:r>
        <w:rPr>
          <w:rFonts w:hint="eastAsia"/>
          <w:b/>
          <w:sz w:val="24"/>
          <w:szCs w:val="24"/>
          <w:highlight w:val="none"/>
          <w:lang w:val="en-US" w:eastAsia="zh-CN"/>
        </w:rPr>
        <w:t>附件4：河南省政府采购合同融资政策告知函</w:t>
      </w:r>
    </w:p>
    <w:p w14:paraId="57E46FFE">
      <w:pPr>
        <w:keepNext w:val="0"/>
        <w:keepLines w:val="0"/>
        <w:widowControl/>
        <w:suppressLineNumbers w:val="0"/>
        <w:jc w:val="center"/>
        <w:rPr>
          <w:rFonts w:hint="eastAsia" w:ascii="宋体" w:hAnsi="宋体" w:eastAsia="宋体" w:cs="宋体"/>
          <w:color w:val="000000"/>
          <w:kern w:val="0"/>
          <w:sz w:val="24"/>
          <w:szCs w:val="24"/>
          <w:highlight w:val="none"/>
          <w:lang w:val="en-US" w:eastAsia="zh-CN" w:bidi="ar"/>
        </w:rPr>
      </w:pPr>
    </w:p>
    <w:p w14:paraId="6F35124F">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1871045E">
      <w:pPr>
        <w:keepNext w:val="0"/>
        <w:keepLines w:val="0"/>
        <w:widowControl/>
        <w:suppressLineNumbers w:val="0"/>
        <w:spacing w:line="360" w:lineRule="auto"/>
        <w:jc w:val="left"/>
        <w:rPr>
          <w:sz w:val="21"/>
          <w:szCs w:val="24"/>
          <w:highlight w:val="none"/>
        </w:rPr>
      </w:pPr>
      <w:r>
        <w:rPr>
          <w:rFonts w:hint="eastAsia" w:ascii="宋体" w:hAnsi="宋体" w:eastAsia="宋体" w:cs="宋体"/>
          <w:color w:val="000000"/>
          <w:kern w:val="0"/>
          <w:sz w:val="24"/>
          <w:szCs w:val="24"/>
          <w:highlight w:val="none"/>
          <w:lang w:val="en-US" w:eastAsia="zh-CN" w:bidi="ar"/>
        </w:rPr>
        <w:t>各</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 xml:space="preserve">： </w:t>
      </w:r>
    </w:p>
    <w:p w14:paraId="2F1BB39B">
      <w:pPr>
        <w:keepNext w:val="0"/>
        <w:keepLines w:val="0"/>
        <w:widowControl/>
        <w:suppressLineNumbers w:val="0"/>
        <w:spacing w:line="360" w:lineRule="auto"/>
        <w:jc w:val="left"/>
        <w:rPr>
          <w:sz w:val="21"/>
          <w:szCs w:val="24"/>
          <w:highlight w:val="none"/>
        </w:rPr>
      </w:pPr>
      <w:r>
        <w:rPr>
          <w:rFonts w:hint="eastAsia" w:ascii="宋体" w:hAnsi="宋体" w:eastAsia="宋体" w:cs="宋体"/>
          <w:color w:val="000000"/>
          <w:kern w:val="0"/>
          <w:sz w:val="24"/>
          <w:szCs w:val="24"/>
          <w:highlight w:val="none"/>
          <w:lang w:val="en-US" w:eastAsia="zh-CN" w:bidi="ar"/>
        </w:rPr>
        <w:t xml:space="preserve">欢迎贵公司参与河南省政府采购活动! </w:t>
      </w:r>
    </w:p>
    <w:p w14:paraId="5BD6422D">
      <w:pPr>
        <w:keepNext w:val="0"/>
        <w:keepLines w:val="0"/>
        <w:widowControl/>
        <w:suppressLineNumbers w:val="0"/>
        <w:spacing w:line="360" w:lineRule="auto"/>
        <w:jc w:val="left"/>
        <w:rPr>
          <w:sz w:val="21"/>
          <w:szCs w:val="24"/>
          <w:highlight w:val="none"/>
        </w:rPr>
      </w:pPr>
      <w:r>
        <w:rPr>
          <w:rFonts w:hint="eastAsia" w:ascii="宋体" w:hAnsi="宋体" w:eastAsia="宋体" w:cs="宋体"/>
          <w:color w:val="000000"/>
          <w:kern w:val="0"/>
          <w:sz w:val="24"/>
          <w:szCs w:val="24"/>
          <w:highlight w:val="none"/>
          <w:lang w:val="en-US" w:eastAsia="zh-CN" w:bidi="ar"/>
        </w:rPr>
        <w:t>政府采购合同融资是河南省财政厅支持中小微企业发展，针对参与政府采购活动的</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融资难、融资贵问题推出的一项融资政策。贵公司若成为本次政府采购项目的中标成交</w:t>
      </w:r>
      <w:r>
        <w:rPr>
          <w:rFonts w:hint="eastAsia" w:ascii="宋体" w:hAnsi="宋体" w:cs="宋体"/>
          <w:color w:val="000000"/>
          <w:kern w:val="0"/>
          <w:sz w:val="24"/>
          <w:szCs w:val="24"/>
          <w:highlight w:val="none"/>
          <w:lang w:val="en-US" w:eastAsia="zh-CN" w:bidi="ar"/>
        </w:rPr>
        <w:t>供应商</w:t>
      </w:r>
      <w:r>
        <w:rPr>
          <w:rFonts w:hint="eastAsia" w:ascii="宋体" w:hAnsi="宋体" w:eastAsia="宋体" w:cs="宋体"/>
          <w:color w:val="000000"/>
          <w:kern w:val="0"/>
          <w:sz w:val="24"/>
          <w:szCs w:val="24"/>
          <w:highlight w:val="none"/>
          <w:lang w:val="en-US" w:eastAsia="zh-CN" w:bidi="ar"/>
        </w:rPr>
        <w:t xml:space="preserve">，可持政府采购合同向金融机构申请贷款，无需抵押、担保，融资机构将根据《河南省政府采购合同融资工作实施方案》(豫财购(2017)10 号)，按照双方自愿的原则提供便捷、 优惠的贷款服务。 </w:t>
      </w:r>
    </w:p>
    <w:p w14:paraId="5DACB9D4">
      <w:pPr>
        <w:keepNext w:val="0"/>
        <w:keepLines w:val="0"/>
        <w:widowControl/>
        <w:suppressLineNumbers w:val="0"/>
        <w:spacing w:line="360" w:lineRule="auto"/>
        <w:jc w:val="left"/>
        <w:rPr>
          <w:sz w:val="21"/>
          <w:szCs w:val="24"/>
          <w:highlight w:val="none"/>
        </w:rPr>
      </w:pPr>
      <w:r>
        <w:rPr>
          <w:rFonts w:hint="eastAsia" w:ascii="宋体" w:hAnsi="宋体" w:eastAsia="宋体" w:cs="宋体"/>
          <w:color w:val="000000"/>
          <w:kern w:val="0"/>
          <w:sz w:val="24"/>
          <w:szCs w:val="24"/>
          <w:highlight w:val="none"/>
          <w:lang w:val="en-US" w:eastAsia="zh-CN" w:bidi="ar"/>
        </w:rPr>
        <w:t xml:space="preserve">贷款渠道和提供贷款的金融机构，可在河南省政府采购网“河南省政府采购合同融资平台”查询联系。 </w:t>
      </w:r>
    </w:p>
    <w:p w14:paraId="79CB346D">
      <w:pPr>
        <w:keepNext w:val="0"/>
        <w:keepLines w:val="0"/>
        <w:widowControl/>
        <w:suppressLineNumbers w:val="0"/>
        <w:jc w:val="center"/>
        <w:rPr>
          <w:rFonts w:hint="eastAsia" w:ascii="宋体" w:hAnsi="宋体" w:eastAsia="宋体" w:cs="宋体"/>
          <w:b/>
          <w:color w:val="000000"/>
          <w:kern w:val="0"/>
          <w:sz w:val="26"/>
          <w:szCs w:val="26"/>
          <w:highlight w:val="none"/>
          <w:lang w:val="en-US" w:eastAsia="zh-CN" w:bidi="ar"/>
        </w:rPr>
      </w:pPr>
    </w:p>
    <w:p w14:paraId="63C7F4B9">
      <w:pPr>
        <w:keepNext w:val="0"/>
        <w:keepLines w:val="0"/>
        <w:widowControl/>
        <w:suppressLineNumbers w:val="0"/>
        <w:jc w:val="center"/>
        <w:rPr>
          <w:rFonts w:hint="eastAsia" w:ascii="宋体" w:hAnsi="宋体" w:eastAsia="宋体" w:cs="宋体"/>
          <w:b/>
          <w:color w:val="000000"/>
          <w:kern w:val="0"/>
          <w:sz w:val="26"/>
          <w:szCs w:val="26"/>
          <w:highlight w:val="none"/>
          <w:lang w:val="en-US" w:eastAsia="zh-CN" w:bidi="ar"/>
        </w:rPr>
      </w:pPr>
    </w:p>
    <w:p w14:paraId="7E11A9AE">
      <w:pPr>
        <w:keepNext w:val="0"/>
        <w:keepLines w:val="0"/>
        <w:widowControl/>
        <w:suppressLineNumbers w:val="0"/>
        <w:jc w:val="center"/>
        <w:rPr>
          <w:rFonts w:hint="eastAsia" w:ascii="宋体" w:hAnsi="宋体" w:eastAsia="宋体" w:cs="宋体"/>
          <w:b/>
          <w:color w:val="000000"/>
          <w:kern w:val="0"/>
          <w:sz w:val="26"/>
          <w:szCs w:val="26"/>
          <w:highlight w:val="none"/>
          <w:lang w:val="en-US" w:eastAsia="zh-CN" w:bidi="ar"/>
        </w:rPr>
      </w:pPr>
    </w:p>
    <w:p w14:paraId="42366B0F">
      <w:pPr>
        <w:keepNext w:val="0"/>
        <w:keepLines w:val="0"/>
        <w:widowControl/>
        <w:suppressLineNumbers w:val="0"/>
        <w:jc w:val="center"/>
        <w:rPr>
          <w:rFonts w:hint="eastAsia" w:ascii="宋体" w:hAnsi="宋体" w:eastAsia="宋体" w:cs="宋体"/>
          <w:b/>
          <w:color w:val="000000"/>
          <w:kern w:val="0"/>
          <w:sz w:val="26"/>
          <w:szCs w:val="26"/>
          <w:highlight w:val="none"/>
          <w:lang w:val="en-US" w:eastAsia="zh-CN" w:bidi="ar"/>
        </w:rPr>
      </w:pPr>
    </w:p>
    <w:p w14:paraId="6F7D7605">
      <w:pPr>
        <w:keepNext w:val="0"/>
        <w:keepLines w:val="0"/>
        <w:widowControl/>
        <w:suppressLineNumbers w:val="0"/>
        <w:jc w:val="center"/>
        <w:rPr>
          <w:rFonts w:hint="eastAsia" w:ascii="宋体" w:hAnsi="宋体" w:eastAsia="宋体" w:cs="宋体"/>
          <w:b/>
          <w:color w:val="000000"/>
          <w:kern w:val="0"/>
          <w:sz w:val="26"/>
          <w:szCs w:val="26"/>
          <w:highlight w:val="none"/>
          <w:lang w:val="en-US" w:eastAsia="zh-CN" w:bidi="ar"/>
        </w:rPr>
      </w:pPr>
    </w:p>
    <w:p w14:paraId="183FB34E">
      <w:pPr>
        <w:keepNext w:val="0"/>
        <w:keepLines w:val="0"/>
        <w:widowControl/>
        <w:suppressLineNumbers w:val="0"/>
        <w:jc w:val="center"/>
        <w:rPr>
          <w:rFonts w:hint="eastAsia" w:ascii="宋体" w:hAnsi="宋体" w:eastAsia="宋体" w:cs="宋体"/>
          <w:b/>
          <w:color w:val="000000"/>
          <w:kern w:val="0"/>
          <w:sz w:val="26"/>
          <w:szCs w:val="26"/>
          <w:highlight w:val="none"/>
          <w:lang w:val="en-US" w:eastAsia="zh-CN" w:bidi="ar"/>
        </w:rPr>
      </w:pPr>
    </w:p>
    <w:p w14:paraId="2ACE55DA">
      <w:pPr>
        <w:keepNext w:val="0"/>
        <w:keepLines w:val="0"/>
        <w:widowControl/>
        <w:suppressLineNumbers w:val="0"/>
        <w:jc w:val="center"/>
        <w:rPr>
          <w:rFonts w:hint="eastAsia" w:ascii="宋体" w:hAnsi="宋体" w:eastAsia="宋体" w:cs="宋体"/>
          <w:b/>
          <w:color w:val="000000"/>
          <w:kern w:val="0"/>
          <w:sz w:val="26"/>
          <w:szCs w:val="26"/>
          <w:highlight w:val="none"/>
          <w:lang w:val="en-US" w:eastAsia="zh-CN" w:bidi="ar"/>
        </w:rPr>
      </w:pPr>
    </w:p>
    <w:p w14:paraId="583C04CF">
      <w:pPr>
        <w:keepNext w:val="0"/>
        <w:keepLines w:val="0"/>
        <w:widowControl/>
        <w:suppressLineNumbers w:val="0"/>
        <w:jc w:val="center"/>
        <w:rPr>
          <w:rFonts w:hint="eastAsia" w:ascii="宋体" w:hAnsi="宋体" w:eastAsia="宋体" w:cs="宋体"/>
          <w:b/>
          <w:color w:val="000000"/>
          <w:kern w:val="0"/>
          <w:sz w:val="26"/>
          <w:szCs w:val="26"/>
          <w:highlight w:val="none"/>
          <w:lang w:val="en-US" w:eastAsia="zh-CN" w:bidi="ar"/>
        </w:rPr>
      </w:pPr>
    </w:p>
    <w:p w14:paraId="798ECCED">
      <w:pPr>
        <w:keepNext w:val="0"/>
        <w:keepLines w:val="0"/>
        <w:widowControl/>
        <w:suppressLineNumbers w:val="0"/>
        <w:jc w:val="center"/>
        <w:rPr>
          <w:rFonts w:hint="eastAsia" w:ascii="宋体" w:hAnsi="宋体" w:eastAsia="宋体" w:cs="宋体"/>
          <w:b/>
          <w:color w:val="000000"/>
          <w:kern w:val="0"/>
          <w:sz w:val="26"/>
          <w:szCs w:val="26"/>
          <w:highlight w:val="none"/>
          <w:lang w:val="en-US" w:eastAsia="zh-CN" w:bidi="ar"/>
        </w:rPr>
      </w:pPr>
    </w:p>
    <w:p w14:paraId="4762FABF">
      <w:pPr>
        <w:keepNext w:val="0"/>
        <w:keepLines w:val="0"/>
        <w:widowControl/>
        <w:suppressLineNumbers w:val="0"/>
        <w:jc w:val="both"/>
        <w:rPr>
          <w:rFonts w:hint="eastAsia" w:ascii="宋体" w:hAnsi="宋体" w:eastAsia="宋体" w:cs="宋体"/>
          <w:b/>
          <w:color w:val="000000"/>
          <w:kern w:val="0"/>
          <w:sz w:val="26"/>
          <w:szCs w:val="26"/>
          <w:highlight w:val="none"/>
          <w:lang w:val="en-US" w:eastAsia="zh-CN" w:bidi="ar"/>
        </w:rPr>
      </w:pPr>
    </w:p>
    <w:p w14:paraId="4C6D3DEF">
      <w:pPr>
        <w:keepNext w:val="0"/>
        <w:keepLines w:val="0"/>
        <w:widowControl/>
        <w:suppressLineNumbers w:val="0"/>
        <w:jc w:val="both"/>
        <w:rPr>
          <w:rFonts w:hint="eastAsia" w:ascii="宋体" w:hAnsi="宋体" w:eastAsia="宋体" w:cs="宋体"/>
          <w:b/>
          <w:color w:val="000000"/>
          <w:kern w:val="0"/>
          <w:sz w:val="26"/>
          <w:szCs w:val="26"/>
          <w:highlight w:val="none"/>
          <w:lang w:val="en-US" w:eastAsia="zh-CN" w:bidi="ar"/>
        </w:rPr>
      </w:pPr>
    </w:p>
    <w:sectPr>
      <w:headerReference r:id="rId13" w:type="default"/>
      <w:footerReference r:id="rId14" w:type="default"/>
      <w:pgSz w:w="11906" w:h="16838"/>
      <w:pgMar w:top="1440" w:right="1186" w:bottom="1440" w:left="126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C9189">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B84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0340A">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F9508">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8F9508">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4A636">
    <w:pPr>
      <w:pStyle w:val="17"/>
    </w:pPr>
    <w:r>
      <mc:AlternateContent>
        <mc:Choice Requires="wps">
          <w:drawing>
            <wp:anchor distT="0" distB="0" distL="114300" distR="114300" simplePos="0" relativeHeight="251660288" behindDoc="0" locked="0" layoutInCell="1" allowOverlap="1">
              <wp:simplePos x="0" y="0"/>
              <wp:positionH relativeFrom="margin">
                <wp:posOffset>6965315</wp:posOffset>
              </wp:positionH>
              <wp:positionV relativeFrom="paragraph">
                <wp:posOffset>-9930765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EA43F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548.45pt;margin-top:-781.95pt;height:144pt;width:144pt;mso-position-horizontal-relative:margin;mso-wrap-style:none;z-index:251660288;mso-width-relative:page;mso-height-relative:page;" filled="f" stroked="f" coordsize="21600,21600" o:gfxdata="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DRVwneAAAAEQEAAA8AAAAAAAAA&#10;AQAgAAAAIgAAAGRycy9kb3ducmV2LnhtbFBLAQIUABQAAAAIAIdO4kAiiyjk0gEAAKMDAAAOAAAA&#10;AAAAAAEAIAAAAC0BAABkcnMvZTJvRG9jLnhtbFBLBQYAAAAABgAGAFkBAABxBQAAAAA=&#10;">
              <v:fill on="f" focussize="0,0"/>
              <v:stroke on="f" weight="1.25pt"/>
              <v:imagedata o:title=""/>
              <o:lock v:ext="edit" aspectratio="f"/>
              <v:textbox inset="0mm,0mm,0mm,0mm" style="mso-fit-shape-to-text:t;">
                <w:txbxContent>
                  <w:p w14:paraId="68EA43F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EB5B">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5E34B">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F95E34B">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98957">
    <w:pPr>
      <w:spacing w:line="187" w:lineRule="auto"/>
      <w:ind w:left="4368"/>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50489">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F350489">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629C7">
    <w:pPr>
      <w:pStyle w:val="10"/>
      <w:spacing w:line="14" w:lineRule="auto"/>
    </w:pPr>
    <w:r>
      <w:rPr>
        <w:sz w:val="4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B3BFE">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2B3BFE">
                    <w:pPr>
                      <w:pStyle w:val="1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E8B8">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D0C8">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E857">
    <w:pPr>
      <w:widowControl/>
      <w:spacing w:line="360" w:lineRule="auto"/>
      <w:rPr>
        <w:rFonts w:hint="eastAsia"/>
      </w:rP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057A8">
    <w:pPr>
      <w:pStyle w:val="19"/>
      <w:pBdr>
        <w:bottom w:val="none" w:color="auto" w:sz="0" w:space="0"/>
      </w:pBdr>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587F">
    <w:pPr>
      <w:pStyle w:val="10"/>
      <w:spacing w:line="14" w:lineRule="auto"/>
      <w:rPr>
        <w:sz w:val="19"/>
      </w:rPr>
    </w:pPr>
    <w:r>
      <mc:AlternateContent>
        <mc:Choice Requires="wpg">
          <w:drawing>
            <wp:anchor distT="0" distB="0" distL="114300" distR="114300" simplePos="0" relativeHeight="251659264" behindDoc="1" locked="0" layoutInCell="1" allowOverlap="1">
              <wp:simplePos x="0" y="0"/>
              <wp:positionH relativeFrom="page">
                <wp:posOffset>1424305</wp:posOffset>
              </wp:positionH>
              <wp:positionV relativeFrom="page">
                <wp:posOffset>96520</wp:posOffset>
              </wp:positionV>
              <wp:extent cx="21590" cy="20955"/>
              <wp:effectExtent l="5080" t="4445" r="11430" b="12700"/>
              <wp:wrapNone/>
              <wp:docPr id="71" name="组合 71"/>
              <wp:cNvGraphicFramePr/>
              <a:graphic xmlns:a="http://schemas.openxmlformats.org/drawingml/2006/main">
                <a:graphicData uri="http://schemas.microsoft.com/office/word/2010/wordprocessingGroup">
                  <wpg:wgp>
                    <wpg:cNvGrpSpPr/>
                    <wpg:grpSpPr>
                      <a:xfrm>
                        <a:off x="0" y="0"/>
                        <a:ext cx="21590" cy="20955"/>
                        <a:chOff x="2244" y="152"/>
                        <a:chExt cx="34" cy="33"/>
                      </a:xfrm>
                      <a:effectLst/>
                    </wpg:grpSpPr>
                    <wps:wsp>
                      <wps:cNvPr id="69" name="任意多边形 69"/>
                      <wps:cNvSpPr/>
                      <wps:spPr>
                        <a:xfrm>
                          <a:off x="2243" y="152"/>
                          <a:ext cx="33" cy="33"/>
                        </a:xfrm>
                        <a:custGeom>
                          <a:avLst/>
                          <a:gdLst/>
                          <a:ahLst/>
                          <a:cxnLst/>
                          <a:pathLst>
                            <a:path w="33" h="33">
                              <a:moveTo>
                                <a:pt x="32" y="16"/>
                              </a:moveTo>
                              <a:lnTo>
                                <a:pt x="32" y="7"/>
                              </a:lnTo>
                              <a:lnTo>
                                <a:pt x="25" y="0"/>
                              </a:lnTo>
                              <a:lnTo>
                                <a:pt x="16" y="0"/>
                              </a:lnTo>
                              <a:lnTo>
                                <a:pt x="7" y="0"/>
                              </a:lnTo>
                              <a:lnTo>
                                <a:pt x="0" y="7"/>
                              </a:lnTo>
                              <a:lnTo>
                                <a:pt x="0" y="16"/>
                              </a:lnTo>
                              <a:lnTo>
                                <a:pt x="0" y="25"/>
                              </a:lnTo>
                              <a:lnTo>
                                <a:pt x="7" y="32"/>
                              </a:lnTo>
                              <a:lnTo>
                                <a:pt x="16" y="32"/>
                              </a:lnTo>
                              <a:lnTo>
                                <a:pt x="25" y="32"/>
                              </a:lnTo>
                              <a:lnTo>
                                <a:pt x="32" y="25"/>
                              </a:lnTo>
                              <a:lnTo>
                                <a:pt x="32" y="16"/>
                              </a:lnTo>
                              <a:close/>
                            </a:path>
                          </a:pathLst>
                        </a:custGeom>
                        <a:noFill/>
                        <a:ln w="381" cap="flat" cmpd="sng">
                          <a:solidFill>
                            <a:srgbClr val="000000"/>
                          </a:solidFill>
                          <a:prstDash val="solid"/>
                          <a:headEnd type="none" w="med" len="med"/>
                          <a:tailEnd type="none" w="med" len="med"/>
                        </a:ln>
                        <a:effectLst/>
                      </wps:spPr>
                      <wps:bodyPr upright="1"/>
                    </wps:wsp>
                    <wps:wsp>
                      <wps:cNvPr id="70" name="直接连接符 70"/>
                      <wps:cNvCnPr/>
                      <wps:spPr>
                        <a:xfrm>
                          <a:off x="2244" y="169"/>
                          <a:ext cx="33" cy="0"/>
                        </a:xfrm>
                        <a:prstGeom prst="line">
                          <a:avLst/>
                        </a:prstGeom>
                        <a:ln w="381"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112.15pt;margin-top:7.6pt;height:1.65pt;width:1.7pt;mso-position-horizontal-relative:page;mso-position-vertical-relative:page;z-index:-251657216;mso-width-relative:page;mso-height-relative:page;" coordorigin="2244,152" coordsize="34,33" o:gfxdata="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CH7VVnZAAAACQEAAA8AAAAAAAAAAQAgAAAAIgAAAGRycy9kb3ducmV2LnhtbFBLAQIU&#10;ABQAAAAIAIdO4kCnkgAdSAMAAIcJAAAOAAAAAAAAAAEAIAAAACgBAABkcnMvZTJvRG9jLnhtbFBL&#10;BQYAAAAABgAGAFkBAADiBgAAAAA=&#10;">
              <o:lock v:ext="edit" aspectratio="f"/>
              <v:shape id="_x0000_s1026" o:spid="_x0000_s1026" o:spt="100" style="position:absolute;left:2243;top:152;height:33;width:33;" filled="f" stroked="t" coordsize="33,33" o:gfxdata="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oG/i/&#10;AAAA2wAAAA8AAAAAAAAAAQAgAAAAIgAAAGRycy9kb3ducmV2LnhtbFBLAQIUABQAAAAIAIdO4kAz&#10;LwWeOwAAADkAAAAQAAAAAAAAAAEAIAAAAA4BAABkcnMvc2hhcGV4bWwueG1sUEsFBgAAAAAGAAYA&#10;WwEAALgDAAAAAA==&#10;" path="m32,16l32,7,25,0,16,0,7,0,0,7,0,16,0,25,7,32,16,32,25,32,32,25,32,16xe">
                <v:fill on="f" focussize="0,0"/>
                <v:stroke weight="0.03pt" color="#000000" joinstyle="round"/>
                <v:imagedata o:title=""/>
                <o:lock v:ext="edit" aspectratio="f"/>
              </v:shape>
              <v:line id="_x0000_s1026" o:spid="_x0000_s1026" o:spt="20" style="position:absolute;left:2244;top:169;height:0;width:33;" filled="f" stroked="t" coordsize="21600,21600" o:gfxdata="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YFBbsAAADb&#10;AAAADwAAAAAAAAABACAAAAAiAAAAZHJzL2Rvd25yZXYueG1sUEsBAhQAFAAAAAgAh07iQDMvBZ47&#10;AAAAOQAAABAAAAAAAAAAAQAgAAAACgEAAGRycy9zaGFwZXhtbC54bWxQSwUGAAAAAAYABgBbAQAA&#10;tAMAAAAA&#10;">
                <v:fill on="f" focussize="0,0"/>
                <v:stroke weight="0.03pt" color="#000000" joinstyle="round"/>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4EE75"/>
    <w:multiLevelType w:val="singleLevel"/>
    <w:tmpl w:val="8394EE75"/>
    <w:lvl w:ilvl="0" w:tentative="0">
      <w:start w:val="1"/>
      <w:numFmt w:val="chineseCounting"/>
      <w:suff w:val="nothing"/>
      <w:lvlText w:val="%1、"/>
      <w:lvlJc w:val="left"/>
      <w:rPr>
        <w:rFonts w:hint="eastAsia"/>
      </w:rPr>
    </w:lvl>
  </w:abstractNum>
  <w:abstractNum w:abstractNumId="1">
    <w:nsid w:val="8CC5CBEB"/>
    <w:multiLevelType w:val="singleLevel"/>
    <w:tmpl w:val="8CC5CBEB"/>
    <w:lvl w:ilvl="0" w:tentative="0">
      <w:start w:val="1"/>
      <w:numFmt w:val="decimal"/>
      <w:lvlText w:val="%1."/>
      <w:lvlJc w:val="left"/>
      <w:pPr>
        <w:tabs>
          <w:tab w:val="left" w:pos="312"/>
        </w:tabs>
      </w:pPr>
    </w:lvl>
  </w:abstractNum>
  <w:abstractNum w:abstractNumId="2">
    <w:nsid w:val="923099E5"/>
    <w:multiLevelType w:val="singleLevel"/>
    <w:tmpl w:val="923099E5"/>
    <w:lvl w:ilvl="0" w:tentative="0">
      <w:start w:val="1"/>
      <w:numFmt w:val="decimal"/>
      <w:lvlText w:val="(%1)"/>
      <w:lvlJc w:val="left"/>
      <w:pPr>
        <w:tabs>
          <w:tab w:val="left" w:pos="312"/>
        </w:tabs>
        <w:ind w:left="500" w:leftChars="0" w:firstLine="0" w:firstLineChars="0"/>
      </w:pPr>
    </w:lvl>
  </w:abstractNum>
  <w:abstractNum w:abstractNumId="3">
    <w:nsid w:val="951DC788"/>
    <w:multiLevelType w:val="singleLevel"/>
    <w:tmpl w:val="951DC788"/>
    <w:lvl w:ilvl="0" w:tentative="0">
      <w:start w:val="2"/>
      <w:numFmt w:val="decimal"/>
      <w:suff w:val="nothing"/>
      <w:lvlText w:val="（%1）"/>
      <w:lvlJc w:val="left"/>
    </w:lvl>
  </w:abstractNum>
  <w:abstractNum w:abstractNumId="4">
    <w:nsid w:val="99636466"/>
    <w:multiLevelType w:val="singleLevel"/>
    <w:tmpl w:val="99636466"/>
    <w:lvl w:ilvl="0" w:tentative="0">
      <w:start w:val="1"/>
      <w:numFmt w:val="chineseCounting"/>
      <w:suff w:val="nothing"/>
      <w:lvlText w:val="第%1、"/>
      <w:lvlJc w:val="left"/>
      <w:rPr>
        <w:rFonts w:hint="eastAsia"/>
      </w:rPr>
    </w:lvl>
  </w:abstractNum>
  <w:abstractNum w:abstractNumId="5">
    <w:nsid w:val="9A8201B3"/>
    <w:multiLevelType w:val="singleLevel"/>
    <w:tmpl w:val="9A8201B3"/>
    <w:lvl w:ilvl="0" w:tentative="0">
      <w:start w:val="1"/>
      <w:numFmt w:val="decimal"/>
      <w:suff w:val="nothing"/>
      <w:lvlText w:val="（%1）"/>
      <w:lvlJc w:val="left"/>
    </w:lvl>
  </w:abstractNum>
  <w:abstractNum w:abstractNumId="6">
    <w:nsid w:val="9C6ABD21"/>
    <w:multiLevelType w:val="singleLevel"/>
    <w:tmpl w:val="9C6ABD21"/>
    <w:lvl w:ilvl="0" w:tentative="0">
      <w:start w:val="1"/>
      <w:numFmt w:val="decimal"/>
      <w:suff w:val="nothing"/>
      <w:lvlText w:val="%1、"/>
      <w:lvlJc w:val="left"/>
    </w:lvl>
  </w:abstractNum>
  <w:abstractNum w:abstractNumId="7">
    <w:nsid w:val="A8CDACB5"/>
    <w:multiLevelType w:val="singleLevel"/>
    <w:tmpl w:val="A8CDACB5"/>
    <w:lvl w:ilvl="0" w:tentative="0">
      <w:start w:val="1"/>
      <w:numFmt w:val="decimal"/>
      <w:lvlText w:val="%1."/>
      <w:lvlJc w:val="left"/>
      <w:pPr>
        <w:tabs>
          <w:tab w:val="left" w:pos="312"/>
        </w:tabs>
      </w:pPr>
    </w:lvl>
  </w:abstractNum>
  <w:abstractNum w:abstractNumId="8">
    <w:nsid w:val="BE6DF562"/>
    <w:multiLevelType w:val="singleLevel"/>
    <w:tmpl w:val="BE6DF562"/>
    <w:lvl w:ilvl="0" w:tentative="0">
      <w:start w:val="1"/>
      <w:numFmt w:val="decimal"/>
      <w:lvlText w:val="%1."/>
      <w:lvlJc w:val="left"/>
      <w:pPr>
        <w:tabs>
          <w:tab w:val="left" w:pos="312"/>
        </w:tabs>
      </w:pPr>
    </w:lvl>
  </w:abstractNum>
  <w:abstractNum w:abstractNumId="9">
    <w:nsid w:val="BF1EA861"/>
    <w:multiLevelType w:val="singleLevel"/>
    <w:tmpl w:val="BF1EA861"/>
    <w:lvl w:ilvl="0" w:tentative="0">
      <w:start w:val="2"/>
      <w:numFmt w:val="decimal"/>
      <w:suff w:val="nothing"/>
      <w:lvlText w:val="（%1）"/>
      <w:lvlJc w:val="left"/>
    </w:lvl>
  </w:abstractNum>
  <w:abstractNum w:abstractNumId="10">
    <w:nsid w:val="C576F0B6"/>
    <w:multiLevelType w:val="singleLevel"/>
    <w:tmpl w:val="C576F0B6"/>
    <w:lvl w:ilvl="0" w:tentative="0">
      <w:start w:val="1"/>
      <w:numFmt w:val="decimal"/>
      <w:lvlText w:val="%1."/>
      <w:lvlJc w:val="left"/>
      <w:pPr>
        <w:tabs>
          <w:tab w:val="left" w:pos="312"/>
        </w:tabs>
      </w:pPr>
    </w:lvl>
  </w:abstractNum>
  <w:abstractNum w:abstractNumId="11">
    <w:nsid w:val="C97FA9CB"/>
    <w:multiLevelType w:val="singleLevel"/>
    <w:tmpl w:val="C97FA9CB"/>
    <w:lvl w:ilvl="0" w:tentative="0">
      <w:start w:val="1"/>
      <w:numFmt w:val="chineseCounting"/>
      <w:suff w:val="nothing"/>
      <w:lvlText w:val="%1、"/>
      <w:lvlJc w:val="left"/>
      <w:rPr>
        <w:rFonts w:hint="eastAsia"/>
      </w:rPr>
    </w:lvl>
  </w:abstractNum>
  <w:abstractNum w:abstractNumId="12">
    <w:nsid w:val="CB23C939"/>
    <w:multiLevelType w:val="singleLevel"/>
    <w:tmpl w:val="CB23C939"/>
    <w:lvl w:ilvl="0" w:tentative="0">
      <w:start w:val="1"/>
      <w:numFmt w:val="decimal"/>
      <w:suff w:val="nothing"/>
      <w:lvlText w:val="（%1）"/>
      <w:lvlJc w:val="left"/>
    </w:lvl>
  </w:abstractNum>
  <w:abstractNum w:abstractNumId="13">
    <w:nsid w:val="D15D2BA3"/>
    <w:multiLevelType w:val="singleLevel"/>
    <w:tmpl w:val="D15D2BA3"/>
    <w:lvl w:ilvl="0" w:tentative="0">
      <w:start w:val="15"/>
      <w:numFmt w:val="decimal"/>
      <w:suff w:val="nothing"/>
      <w:lvlText w:val="（%1）"/>
      <w:lvlJc w:val="left"/>
    </w:lvl>
  </w:abstractNum>
  <w:abstractNum w:abstractNumId="14">
    <w:nsid w:val="D5FFEC62"/>
    <w:multiLevelType w:val="singleLevel"/>
    <w:tmpl w:val="D5FFEC62"/>
    <w:lvl w:ilvl="0" w:tentative="0">
      <w:start w:val="1"/>
      <w:numFmt w:val="chineseCounting"/>
      <w:suff w:val="nothing"/>
      <w:lvlText w:val="%1、"/>
      <w:lvlJc w:val="left"/>
      <w:rPr>
        <w:rFonts w:hint="eastAsia"/>
      </w:rPr>
    </w:lvl>
  </w:abstractNum>
  <w:abstractNum w:abstractNumId="15">
    <w:nsid w:val="DD193F64"/>
    <w:multiLevelType w:val="singleLevel"/>
    <w:tmpl w:val="DD193F64"/>
    <w:lvl w:ilvl="0" w:tentative="0">
      <w:start w:val="2"/>
      <w:numFmt w:val="decimal"/>
      <w:suff w:val="nothing"/>
      <w:lvlText w:val="（%1）"/>
      <w:lvlJc w:val="left"/>
    </w:lvl>
  </w:abstractNum>
  <w:abstractNum w:abstractNumId="16">
    <w:nsid w:val="E317A4D0"/>
    <w:multiLevelType w:val="singleLevel"/>
    <w:tmpl w:val="E317A4D0"/>
    <w:lvl w:ilvl="0" w:tentative="0">
      <w:start w:val="2"/>
      <w:numFmt w:val="decimal"/>
      <w:suff w:val="nothing"/>
      <w:lvlText w:val="（%1）"/>
      <w:lvlJc w:val="left"/>
    </w:lvl>
  </w:abstractNum>
  <w:abstractNum w:abstractNumId="17">
    <w:nsid w:val="E367DDE0"/>
    <w:multiLevelType w:val="multilevel"/>
    <w:tmpl w:val="E367DDE0"/>
    <w:lvl w:ilvl="0" w:tentative="0">
      <w:start w:val="11"/>
      <w:numFmt w:val="decimal"/>
      <w:lvlText w:val="%1."/>
      <w:lvlJc w:val="left"/>
      <w:pPr>
        <w:tabs>
          <w:tab w:val="left" w:pos="312"/>
        </w:tabs>
      </w:p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8">
    <w:nsid w:val="E591506F"/>
    <w:multiLevelType w:val="singleLevel"/>
    <w:tmpl w:val="E591506F"/>
    <w:lvl w:ilvl="0" w:tentative="0">
      <w:start w:val="1"/>
      <w:numFmt w:val="decimal"/>
      <w:suff w:val="nothing"/>
      <w:lvlText w:val="%1、"/>
      <w:lvlJc w:val="left"/>
    </w:lvl>
  </w:abstractNum>
  <w:abstractNum w:abstractNumId="19">
    <w:nsid w:val="F3B3BDAC"/>
    <w:multiLevelType w:val="singleLevel"/>
    <w:tmpl w:val="F3B3BDAC"/>
    <w:lvl w:ilvl="0" w:tentative="0">
      <w:start w:val="1"/>
      <w:numFmt w:val="chineseCounting"/>
      <w:suff w:val="nothing"/>
      <w:lvlText w:val="%1、"/>
      <w:lvlJc w:val="left"/>
      <w:rPr>
        <w:rFonts w:hint="eastAsia"/>
      </w:rPr>
    </w:lvl>
  </w:abstractNum>
  <w:abstractNum w:abstractNumId="20">
    <w:nsid w:val="FA167142"/>
    <w:multiLevelType w:val="multilevel"/>
    <w:tmpl w:val="FA167142"/>
    <w:lvl w:ilvl="0" w:tentative="0">
      <w:start w:val="1"/>
      <w:numFmt w:val="decimal"/>
      <w:lvlText w:val="%1."/>
      <w:lvlJc w:val="left"/>
      <w:pPr>
        <w:tabs>
          <w:tab w:val="left" w:pos="312"/>
        </w:tabs>
      </w:p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1">
    <w:nsid w:val="FCF63440"/>
    <w:multiLevelType w:val="singleLevel"/>
    <w:tmpl w:val="FCF63440"/>
    <w:lvl w:ilvl="0" w:tentative="0">
      <w:start w:val="1"/>
      <w:numFmt w:val="decimal"/>
      <w:lvlText w:val="%1."/>
      <w:lvlJc w:val="left"/>
      <w:pPr>
        <w:tabs>
          <w:tab w:val="left" w:pos="312"/>
        </w:tabs>
      </w:pPr>
    </w:lvl>
  </w:abstractNum>
  <w:abstractNum w:abstractNumId="22">
    <w:nsid w:val="0000000F"/>
    <w:multiLevelType w:val="singleLevel"/>
    <w:tmpl w:val="0000000F"/>
    <w:lvl w:ilvl="0" w:tentative="0">
      <w:start w:val="1"/>
      <w:numFmt w:val="chineseCounting"/>
      <w:suff w:val="space"/>
      <w:lvlText w:val="%1）"/>
      <w:lvlJc w:val="left"/>
    </w:lvl>
  </w:abstractNum>
  <w:abstractNum w:abstractNumId="23">
    <w:nsid w:val="0676A245"/>
    <w:multiLevelType w:val="singleLevel"/>
    <w:tmpl w:val="0676A245"/>
    <w:lvl w:ilvl="0" w:tentative="0">
      <w:start w:val="2"/>
      <w:numFmt w:val="decimal"/>
      <w:suff w:val="nothing"/>
      <w:lvlText w:val="（%1）"/>
      <w:lvlJc w:val="left"/>
    </w:lvl>
  </w:abstractNum>
  <w:abstractNum w:abstractNumId="24">
    <w:nsid w:val="1938D40C"/>
    <w:multiLevelType w:val="singleLevel"/>
    <w:tmpl w:val="1938D40C"/>
    <w:lvl w:ilvl="0" w:tentative="0">
      <w:start w:val="1"/>
      <w:numFmt w:val="decimal"/>
      <w:lvlText w:val="%1."/>
      <w:lvlJc w:val="left"/>
      <w:pPr>
        <w:tabs>
          <w:tab w:val="left" w:pos="312"/>
        </w:tabs>
      </w:pPr>
    </w:lvl>
  </w:abstractNum>
  <w:abstractNum w:abstractNumId="25">
    <w:nsid w:val="1DD97698"/>
    <w:multiLevelType w:val="singleLevel"/>
    <w:tmpl w:val="1DD97698"/>
    <w:lvl w:ilvl="0" w:tentative="0">
      <w:start w:val="1"/>
      <w:numFmt w:val="decimal"/>
      <w:lvlText w:val="%1."/>
      <w:lvlJc w:val="left"/>
      <w:pPr>
        <w:tabs>
          <w:tab w:val="left" w:pos="312"/>
        </w:tabs>
      </w:pPr>
    </w:lvl>
  </w:abstractNum>
  <w:abstractNum w:abstractNumId="26">
    <w:nsid w:val="1ED03083"/>
    <w:multiLevelType w:val="singleLevel"/>
    <w:tmpl w:val="1ED03083"/>
    <w:lvl w:ilvl="0" w:tentative="0">
      <w:start w:val="1"/>
      <w:numFmt w:val="decimal"/>
      <w:suff w:val="nothing"/>
      <w:lvlText w:val="（%1）"/>
      <w:lvlJc w:val="left"/>
    </w:lvl>
  </w:abstractNum>
  <w:abstractNum w:abstractNumId="27">
    <w:nsid w:val="37EE725A"/>
    <w:multiLevelType w:val="singleLevel"/>
    <w:tmpl w:val="37EE725A"/>
    <w:lvl w:ilvl="0" w:tentative="0">
      <w:start w:val="1"/>
      <w:numFmt w:val="chineseCounting"/>
      <w:suff w:val="nothing"/>
      <w:lvlText w:val="%1、"/>
      <w:lvlJc w:val="left"/>
      <w:rPr>
        <w:rFonts w:hint="eastAsia"/>
      </w:rPr>
    </w:lvl>
  </w:abstractNum>
  <w:abstractNum w:abstractNumId="28">
    <w:nsid w:val="3C8D6B92"/>
    <w:multiLevelType w:val="singleLevel"/>
    <w:tmpl w:val="3C8D6B92"/>
    <w:lvl w:ilvl="0" w:tentative="0">
      <w:start w:val="1"/>
      <w:numFmt w:val="chineseCounting"/>
      <w:suff w:val="space"/>
      <w:lvlText w:val="第%1章"/>
      <w:lvlJc w:val="left"/>
      <w:pPr>
        <w:ind w:left="444" w:leftChars="0" w:firstLine="0" w:firstLineChars="0"/>
      </w:pPr>
      <w:rPr>
        <w:rFonts w:hint="eastAsia"/>
      </w:rPr>
    </w:lvl>
  </w:abstractNum>
  <w:abstractNum w:abstractNumId="29">
    <w:nsid w:val="3FA868FF"/>
    <w:multiLevelType w:val="singleLevel"/>
    <w:tmpl w:val="3FA868FF"/>
    <w:lvl w:ilvl="0" w:tentative="0">
      <w:start w:val="2"/>
      <w:numFmt w:val="decimal"/>
      <w:suff w:val="nothing"/>
      <w:lvlText w:val="（%1）"/>
      <w:lvlJc w:val="left"/>
    </w:lvl>
  </w:abstractNum>
  <w:abstractNum w:abstractNumId="30">
    <w:nsid w:val="4880A32C"/>
    <w:multiLevelType w:val="singleLevel"/>
    <w:tmpl w:val="4880A32C"/>
    <w:lvl w:ilvl="0" w:tentative="0">
      <w:start w:val="1"/>
      <w:numFmt w:val="decimal"/>
      <w:lvlText w:val="%1."/>
      <w:lvlJc w:val="left"/>
      <w:pPr>
        <w:tabs>
          <w:tab w:val="left" w:pos="312"/>
        </w:tabs>
      </w:pPr>
    </w:lvl>
  </w:abstractNum>
  <w:abstractNum w:abstractNumId="31">
    <w:nsid w:val="490F0B08"/>
    <w:multiLevelType w:val="singleLevel"/>
    <w:tmpl w:val="490F0B08"/>
    <w:lvl w:ilvl="0" w:tentative="0">
      <w:start w:val="1"/>
      <w:numFmt w:val="decimal"/>
      <w:lvlText w:val="%1."/>
      <w:lvlJc w:val="left"/>
      <w:pPr>
        <w:tabs>
          <w:tab w:val="left" w:pos="312"/>
        </w:tabs>
      </w:pPr>
    </w:lvl>
  </w:abstractNum>
  <w:abstractNum w:abstractNumId="32">
    <w:nsid w:val="4F3FF634"/>
    <w:multiLevelType w:val="singleLevel"/>
    <w:tmpl w:val="4F3FF634"/>
    <w:lvl w:ilvl="0" w:tentative="0">
      <w:start w:val="2"/>
      <w:numFmt w:val="decimal"/>
      <w:lvlText w:val="%1."/>
      <w:lvlJc w:val="left"/>
      <w:pPr>
        <w:tabs>
          <w:tab w:val="left" w:pos="312"/>
        </w:tabs>
      </w:pPr>
    </w:lvl>
  </w:abstractNum>
  <w:abstractNum w:abstractNumId="33">
    <w:nsid w:val="525F5411"/>
    <w:multiLevelType w:val="singleLevel"/>
    <w:tmpl w:val="525F5411"/>
    <w:lvl w:ilvl="0" w:tentative="0">
      <w:start w:val="1"/>
      <w:numFmt w:val="chineseCounting"/>
      <w:suff w:val="nothing"/>
      <w:lvlText w:val="%1、"/>
      <w:lvlJc w:val="left"/>
      <w:rPr>
        <w:rFonts w:hint="eastAsia"/>
      </w:rPr>
    </w:lvl>
  </w:abstractNum>
  <w:abstractNum w:abstractNumId="34">
    <w:nsid w:val="61FF7CCA"/>
    <w:multiLevelType w:val="singleLevel"/>
    <w:tmpl w:val="61FF7CCA"/>
    <w:lvl w:ilvl="0" w:tentative="0">
      <w:start w:val="1"/>
      <w:numFmt w:val="chineseCounting"/>
      <w:suff w:val="nothing"/>
      <w:lvlText w:val="%1、"/>
      <w:lvlJc w:val="left"/>
      <w:rPr>
        <w:rFonts w:hint="eastAsia"/>
      </w:rPr>
    </w:lvl>
  </w:abstractNum>
  <w:abstractNum w:abstractNumId="35">
    <w:nsid w:val="69217648"/>
    <w:multiLevelType w:val="singleLevel"/>
    <w:tmpl w:val="69217648"/>
    <w:lvl w:ilvl="0" w:tentative="0">
      <w:start w:val="1"/>
      <w:numFmt w:val="decimal"/>
      <w:lvlText w:val="%1."/>
      <w:lvlJc w:val="left"/>
      <w:pPr>
        <w:tabs>
          <w:tab w:val="left" w:pos="312"/>
        </w:tabs>
      </w:pPr>
    </w:lvl>
  </w:abstractNum>
  <w:abstractNum w:abstractNumId="36">
    <w:nsid w:val="74FBDB45"/>
    <w:multiLevelType w:val="singleLevel"/>
    <w:tmpl w:val="74FBDB45"/>
    <w:lvl w:ilvl="0" w:tentative="0">
      <w:start w:val="1"/>
      <w:numFmt w:val="chineseCounting"/>
      <w:suff w:val="nothing"/>
      <w:lvlText w:val="%1、"/>
      <w:lvlJc w:val="left"/>
      <w:rPr>
        <w:rFonts w:hint="eastAsia"/>
      </w:rPr>
    </w:lvl>
  </w:abstractNum>
  <w:abstractNum w:abstractNumId="37">
    <w:nsid w:val="7F8C66F2"/>
    <w:multiLevelType w:val="multilevel"/>
    <w:tmpl w:val="7F8C66F2"/>
    <w:lvl w:ilvl="0" w:tentative="0">
      <w:start w:val="1"/>
      <w:numFmt w:val="decimal"/>
      <w:lvlText w:val="%1."/>
      <w:lvlJc w:val="left"/>
      <w:pPr>
        <w:tabs>
          <w:tab w:val="left" w:pos="312"/>
        </w:tabs>
      </w:p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28"/>
  </w:num>
  <w:num w:numId="2">
    <w:abstractNumId w:val="4"/>
  </w:num>
  <w:num w:numId="3">
    <w:abstractNumId w:val="2"/>
  </w:num>
  <w:num w:numId="4">
    <w:abstractNumId w:val="5"/>
  </w:num>
  <w:num w:numId="5">
    <w:abstractNumId w:val="12"/>
  </w:num>
  <w:num w:numId="6">
    <w:abstractNumId w:val="26"/>
  </w:num>
  <w:num w:numId="7">
    <w:abstractNumId w:val="7"/>
  </w:num>
  <w:num w:numId="8">
    <w:abstractNumId w:val="8"/>
  </w:num>
  <w:num w:numId="9">
    <w:abstractNumId w:val="21"/>
  </w:num>
  <w:num w:numId="10">
    <w:abstractNumId w:val="10"/>
  </w:num>
  <w:num w:numId="11">
    <w:abstractNumId w:val="1"/>
  </w:num>
  <w:num w:numId="12">
    <w:abstractNumId w:val="30"/>
  </w:num>
  <w:num w:numId="13">
    <w:abstractNumId w:val="35"/>
  </w:num>
  <w:num w:numId="14">
    <w:abstractNumId w:val="25"/>
  </w:num>
  <w:num w:numId="15">
    <w:abstractNumId w:val="11"/>
  </w:num>
  <w:num w:numId="16">
    <w:abstractNumId w:val="3"/>
  </w:num>
  <w:num w:numId="17">
    <w:abstractNumId w:val="13"/>
  </w:num>
  <w:num w:numId="18">
    <w:abstractNumId w:val="23"/>
  </w:num>
  <w:num w:numId="19">
    <w:abstractNumId w:val="29"/>
  </w:num>
  <w:num w:numId="20">
    <w:abstractNumId w:val="16"/>
  </w:num>
  <w:num w:numId="21">
    <w:abstractNumId w:val="9"/>
  </w:num>
  <w:num w:numId="22">
    <w:abstractNumId w:val="15"/>
  </w:num>
  <w:num w:numId="23">
    <w:abstractNumId w:val="36"/>
  </w:num>
  <w:num w:numId="24">
    <w:abstractNumId w:val="18"/>
  </w:num>
  <w:num w:numId="25">
    <w:abstractNumId w:val="27"/>
  </w:num>
  <w:num w:numId="26">
    <w:abstractNumId w:val="19"/>
  </w:num>
  <w:num w:numId="27">
    <w:abstractNumId w:val="24"/>
  </w:num>
  <w:num w:numId="28">
    <w:abstractNumId w:val="17"/>
  </w:num>
  <w:num w:numId="29">
    <w:abstractNumId w:val="37"/>
  </w:num>
  <w:num w:numId="30">
    <w:abstractNumId w:val="20"/>
  </w:num>
  <w:num w:numId="31">
    <w:abstractNumId w:val="31"/>
  </w:num>
  <w:num w:numId="32">
    <w:abstractNumId w:val="14"/>
  </w:num>
  <w:num w:numId="33">
    <w:abstractNumId w:val="6"/>
  </w:num>
  <w:num w:numId="34">
    <w:abstractNumId w:val="34"/>
  </w:num>
  <w:num w:numId="35">
    <w:abstractNumId w:val="0"/>
  </w:num>
  <w:num w:numId="36">
    <w:abstractNumId w:val="33"/>
  </w:num>
  <w:num w:numId="37">
    <w:abstractNumId w:val="2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NmNjMWJmYzllN2JkNzc5NzNiMWJhYmYxMWNiYjIifQ=="/>
  </w:docVars>
  <w:rsids>
    <w:rsidRoot w:val="405E5E4D"/>
    <w:rsid w:val="00060C6A"/>
    <w:rsid w:val="00617AB2"/>
    <w:rsid w:val="00B34830"/>
    <w:rsid w:val="00D70859"/>
    <w:rsid w:val="00F34574"/>
    <w:rsid w:val="011B6D03"/>
    <w:rsid w:val="011C419A"/>
    <w:rsid w:val="01610122"/>
    <w:rsid w:val="01AB6346"/>
    <w:rsid w:val="01B565EF"/>
    <w:rsid w:val="01F01BD2"/>
    <w:rsid w:val="0207230D"/>
    <w:rsid w:val="0214208D"/>
    <w:rsid w:val="02370D48"/>
    <w:rsid w:val="02777BFD"/>
    <w:rsid w:val="02922C89"/>
    <w:rsid w:val="029F7154"/>
    <w:rsid w:val="02BC2D99"/>
    <w:rsid w:val="02BE1B0E"/>
    <w:rsid w:val="031606F0"/>
    <w:rsid w:val="034401DF"/>
    <w:rsid w:val="03A0114D"/>
    <w:rsid w:val="03CB7193"/>
    <w:rsid w:val="03DB41BC"/>
    <w:rsid w:val="040C6722"/>
    <w:rsid w:val="044829D8"/>
    <w:rsid w:val="04593D2B"/>
    <w:rsid w:val="04C047E9"/>
    <w:rsid w:val="04C64E6C"/>
    <w:rsid w:val="04C74E01"/>
    <w:rsid w:val="04F369C6"/>
    <w:rsid w:val="05021C3F"/>
    <w:rsid w:val="05080CAD"/>
    <w:rsid w:val="052C2255"/>
    <w:rsid w:val="05405637"/>
    <w:rsid w:val="05565F59"/>
    <w:rsid w:val="058E0D0D"/>
    <w:rsid w:val="05AA4F6F"/>
    <w:rsid w:val="05F268F6"/>
    <w:rsid w:val="05FE20FA"/>
    <w:rsid w:val="06085A27"/>
    <w:rsid w:val="062B7B7E"/>
    <w:rsid w:val="064F7299"/>
    <w:rsid w:val="06557C1B"/>
    <w:rsid w:val="068C111A"/>
    <w:rsid w:val="069B775D"/>
    <w:rsid w:val="06B71D57"/>
    <w:rsid w:val="06FD08ED"/>
    <w:rsid w:val="07302083"/>
    <w:rsid w:val="076837CF"/>
    <w:rsid w:val="077E1A2E"/>
    <w:rsid w:val="079F1FA3"/>
    <w:rsid w:val="07A115E8"/>
    <w:rsid w:val="07A7181C"/>
    <w:rsid w:val="07AB0349"/>
    <w:rsid w:val="07C60784"/>
    <w:rsid w:val="07D96C64"/>
    <w:rsid w:val="07DD6ABC"/>
    <w:rsid w:val="07E31C4A"/>
    <w:rsid w:val="080F08D8"/>
    <w:rsid w:val="084A0390"/>
    <w:rsid w:val="084B57D3"/>
    <w:rsid w:val="08562D76"/>
    <w:rsid w:val="08601579"/>
    <w:rsid w:val="086E30D4"/>
    <w:rsid w:val="08836BD0"/>
    <w:rsid w:val="088B5C0A"/>
    <w:rsid w:val="08D57A2A"/>
    <w:rsid w:val="09284F21"/>
    <w:rsid w:val="093A232F"/>
    <w:rsid w:val="09482E28"/>
    <w:rsid w:val="098F0954"/>
    <w:rsid w:val="09BD5791"/>
    <w:rsid w:val="0A0C3134"/>
    <w:rsid w:val="0A225BB3"/>
    <w:rsid w:val="0A5A73FE"/>
    <w:rsid w:val="0A93759F"/>
    <w:rsid w:val="0AAC0660"/>
    <w:rsid w:val="0AB50CB4"/>
    <w:rsid w:val="0B444D3D"/>
    <w:rsid w:val="0B451DA0"/>
    <w:rsid w:val="0B4F38D3"/>
    <w:rsid w:val="0B5070AA"/>
    <w:rsid w:val="0B5125A3"/>
    <w:rsid w:val="0B9926B6"/>
    <w:rsid w:val="0BA704D7"/>
    <w:rsid w:val="0BB21B28"/>
    <w:rsid w:val="0BB80509"/>
    <w:rsid w:val="0BDB4C57"/>
    <w:rsid w:val="0BDC31C7"/>
    <w:rsid w:val="0BEB4FAD"/>
    <w:rsid w:val="0C1B4F42"/>
    <w:rsid w:val="0C403756"/>
    <w:rsid w:val="0C6D7564"/>
    <w:rsid w:val="0C6E790F"/>
    <w:rsid w:val="0CA347F7"/>
    <w:rsid w:val="0CB853E9"/>
    <w:rsid w:val="0CC8646D"/>
    <w:rsid w:val="0CCF4ADA"/>
    <w:rsid w:val="0CF804C6"/>
    <w:rsid w:val="0CFC7410"/>
    <w:rsid w:val="0D00632C"/>
    <w:rsid w:val="0D4349E3"/>
    <w:rsid w:val="0D460BF6"/>
    <w:rsid w:val="0D6813B0"/>
    <w:rsid w:val="0D8B27AF"/>
    <w:rsid w:val="0D8B3BB4"/>
    <w:rsid w:val="0DAF0B93"/>
    <w:rsid w:val="0DCF4D92"/>
    <w:rsid w:val="0DD7425F"/>
    <w:rsid w:val="0DF95442"/>
    <w:rsid w:val="0DFC6FF6"/>
    <w:rsid w:val="0E386761"/>
    <w:rsid w:val="0E39220B"/>
    <w:rsid w:val="0E452577"/>
    <w:rsid w:val="0E4A3C2F"/>
    <w:rsid w:val="0E530E38"/>
    <w:rsid w:val="0E5434E9"/>
    <w:rsid w:val="0E715E49"/>
    <w:rsid w:val="0E811E01"/>
    <w:rsid w:val="0E89799E"/>
    <w:rsid w:val="0ECA5559"/>
    <w:rsid w:val="0EF97E90"/>
    <w:rsid w:val="0EFA68C5"/>
    <w:rsid w:val="0EFF07A0"/>
    <w:rsid w:val="0F175382"/>
    <w:rsid w:val="0F590216"/>
    <w:rsid w:val="0F602BFA"/>
    <w:rsid w:val="0F857741"/>
    <w:rsid w:val="0F9477AA"/>
    <w:rsid w:val="0FA4042D"/>
    <w:rsid w:val="0FB92A32"/>
    <w:rsid w:val="0FDD12BC"/>
    <w:rsid w:val="10032FA1"/>
    <w:rsid w:val="101D486A"/>
    <w:rsid w:val="102B0279"/>
    <w:rsid w:val="103233B6"/>
    <w:rsid w:val="105651B6"/>
    <w:rsid w:val="107732B2"/>
    <w:rsid w:val="108E54DA"/>
    <w:rsid w:val="108F3EB7"/>
    <w:rsid w:val="10B52319"/>
    <w:rsid w:val="10D61D56"/>
    <w:rsid w:val="10E548CC"/>
    <w:rsid w:val="10E92779"/>
    <w:rsid w:val="11013F06"/>
    <w:rsid w:val="110222CE"/>
    <w:rsid w:val="116C0FD7"/>
    <w:rsid w:val="11814800"/>
    <w:rsid w:val="11825E77"/>
    <w:rsid w:val="11C47D41"/>
    <w:rsid w:val="11C66B8F"/>
    <w:rsid w:val="11D31F17"/>
    <w:rsid w:val="11E83B08"/>
    <w:rsid w:val="12020355"/>
    <w:rsid w:val="120C7676"/>
    <w:rsid w:val="121D1E44"/>
    <w:rsid w:val="12466EEF"/>
    <w:rsid w:val="12B535B3"/>
    <w:rsid w:val="12C02EFB"/>
    <w:rsid w:val="12E35EDE"/>
    <w:rsid w:val="12EC1224"/>
    <w:rsid w:val="13121A9D"/>
    <w:rsid w:val="13331E66"/>
    <w:rsid w:val="137A0917"/>
    <w:rsid w:val="13856AF8"/>
    <w:rsid w:val="138B0929"/>
    <w:rsid w:val="13AB7AF5"/>
    <w:rsid w:val="13B758FF"/>
    <w:rsid w:val="13BD19C6"/>
    <w:rsid w:val="13D50C28"/>
    <w:rsid w:val="13DD7AA1"/>
    <w:rsid w:val="13E96236"/>
    <w:rsid w:val="13FB7F63"/>
    <w:rsid w:val="14147DE5"/>
    <w:rsid w:val="142923F2"/>
    <w:rsid w:val="14881371"/>
    <w:rsid w:val="149D101A"/>
    <w:rsid w:val="14AD2383"/>
    <w:rsid w:val="14C522EF"/>
    <w:rsid w:val="14D24BBC"/>
    <w:rsid w:val="14D5174A"/>
    <w:rsid w:val="14E90327"/>
    <w:rsid w:val="15542020"/>
    <w:rsid w:val="155A1F19"/>
    <w:rsid w:val="157F401B"/>
    <w:rsid w:val="158310B3"/>
    <w:rsid w:val="158E005C"/>
    <w:rsid w:val="159A1704"/>
    <w:rsid w:val="15A016E4"/>
    <w:rsid w:val="15CC565E"/>
    <w:rsid w:val="162B4B2F"/>
    <w:rsid w:val="163B719F"/>
    <w:rsid w:val="16584E4B"/>
    <w:rsid w:val="16627DFE"/>
    <w:rsid w:val="169B0C70"/>
    <w:rsid w:val="16A45893"/>
    <w:rsid w:val="16AC6E1E"/>
    <w:rsid w:val="16E805EF"/>
    <w:rsid w:val="17150A2E"/>
    <w:rsid w:val="172A3039"/>
    <w:rsid w:val="17731ACF"/>
    <w:rsid w:val="17822E75"/>
    <w:rsid w:val="178A0A64"/>
    <w:rsid w:val="17914E66"/>
    <w:rsid w:val="17BB1EE3"/>
    <w:rsid w:val="17CF23FB"/>
    <w:rsid w:val="17D10799"/>
    <w:rsid w:val="17E56459"/>
    <w:rsid w:val="181D2B9D"/>
    <w:rsid w:val="181F06C4"/>
    <w:rsid w:val="18743EBB"/>
    <w:rsid w:val="18BC0C3F"/>
    <w:rsid w:val="18CE5A16"/>
    <w:rsid w:val="18D77E58"/>
    <w:rsid w:val="19564DF8"/>
    <w:rsid w:val="19690838"/>
    <w:rsid w:val="1987662F"/>
    <w:rsid w:val="198F0426"/>
    <w:rsid w:val="19DC00E0"/>
    <w:rsid w:val="19E61847"/>
    <w:rsid w:val="19FE3226"/>
    <w:rsid w:val="1A1179A3"/>
    <w:rsid w:val="1A2205C1"/>
    <w:rsid w:val="1A517DD3"/>
    <w:rsid w:val="1A7A57AE"/>
    <w:rsid w:val="1A81676B"/>
    <w:rsid w:val="1AB53D8A"/>
    <w:rsid w:val="1AC24B91"/>
    <w:rsid w:val="1AC314CD"/>
    <w:rsid w:val="1B82502B"/>
    <w:rsid w:val="1BA26A8D"/>
    <w:rsid w:val="1BB8267A"/>
    <w:rsid w:val="1BC61495"/>
    <w:rsid w:val="1BC61D77"/>
    <w:rsid w:val="1C1A7604"/>
    <w:rsid w:val="1C31325D"/>
    <w:rsid w:val="1C415954"/>
    <w:rsid w:val="1C931680"/>
    <w:rsid w:val="1C9877D8"/>
    <w:rsid w:val="1CB00453"/>
    <w:rsid w:val="1CBA0517"/>
    <w:rsid w:val="1CC63804"/>
    <w:rsid w:val="1CD06430"/>
    <w:rsid w:val="1CEE0CFB"/>
    <w:rsid w:val="1D450324"/>
    <w:rsid w:val="1D7274E7"/>
    <w:rsid w:val="1D871766"/>
    <w:rsid w:val="1DA03292"/>
    <w:rsid w:val="1DA57C19"/>
    <w:rsid w:val="1DC37D43"/>
    <w:rsid w:val="1DE657E0"/>
    <w:rsid w:val="1E00123C"/>
    <w:rsid w:val="1E2F6B09"/>
    <w:rsid w:val="1E45337F"/>
    <w:rsid w:val="1E470974"/>
    <w:rsid w:val="1EEB1CFA"/>
    <w:rsid w:val="1EF81C6E"/>
    <w:rsid w:val="1F0E5F01"/>
    <w:rsid w:val="1F204462"/>
    <w:rsid w:val="1F6B21D5"/>
    <w:rsid w:val="1F78690B"/>
    <w:rsid w:val="1F8C2F94"/>
    <w:rsid w:val="1F940113"/>
    <w:rsid w:val="1FAB177D"/>
    <w:rsid w:val="1FB44D03"/>
    <w:rsid w:val="1FB742A8"/>
    <w:rsid w:val="1FB77434"/>
    <w:rsid w:val="1FBA1D7F"/>
    <w:rsid w:val="1FC55DBE"/>
    <w:rsid w:val="200E50DC"/>
    <w:rsid w:val="203945B9"/>
    <w:rsid w:val="204A0D90"/>
    <w:rsid w:val="205A0D58"/>
    <w:rsid w:val="20783067"/>
    <w:rsid w:val="20A828DC"/>
    <w:rsid w:val="20BE69D5"/>
    <w:rsid w:val="20D83BE8"/>
    <w:rsid w:val="20EE7FD1"/>
    <w:rsid w:val="2100305C"/>
    <w:rsid w:val="212F7E0C"/>
    <w:rsid w:val="21411A17"/>
    <w:rsid w:val="21597DBD"/>
    <w:rsid w:val="215C2026"/>
    <w:rsid w:val="216058A9"/>
    <w:rsid w:val="21901B08"/>
    <w:rsid w:val="21920595"/>
    <w:rsid w:val="219F63D1"/>
    <w:rsid w:val="21A3351C"/>
    <w:rsid w:val="21B25650"/>
    <w:rsid w:val="21B51D31"/>
    <w:rsid w:val="21D5297B"/>
    <w:rsid w:val="225C7BA0"/>
    <w:rsid w:val="22B17484"/>
    <w:rsid w:val="22D92DBE"/>
    <w:rsid w:val="22E845A7"/>
    <w:rsid w:val="23276B60"/>
    <w:rsid w:val="234011B5"/>
    <w:rsid w:val="236F7C46"/>
    <w:rsid w:val="23CD2F00"/>
    <w:rsid w:val="23EC6245"/>
    <w:rsid w:val="241C686E"/>
    <w:rsid w:val="243C43AB"/>
    <w:rsid w:val="246C4229"/>
    <w:rsid w:val="247B1377"/>
    <w:rsid w:val="2483022C"/>
    <w:rsid w:val="24D44CDA"/>
    <w:rsid w:val="24F238A4"/>
    <w:rsid w:val="250E4D5D"/>
    <w:rsid w:val="252E2193"/>
    <w:rsid w:val="254F4399"/>
    <w:rsid w:val="25651EE9"/>
    <w:rsid w:val="25840EF2"/>
    <w:rsid w:val="25CC0D7A"/>
    <w:rsid w:val="260F5CD0"/>
    <w:rsid w:val="26113C82"/>
    <w:rsid w:val="26143738"/>
    <w:rsid w:val="26192478"/>
    <w:rsid w:val="263B609D"/>
    <w:rsid w:val="263D0006"/>
    <w:rsid w:val="266C3655"/>
    <w:rsid w:val="26C01524"/>
    <w:rsid w:val="26F50752"/>
    <w:rsid w:val="27475BD6"/>
    <w:rsid w:val="27650175"/>
    <w:rsid w:val="27722657"/>
    <w:rsid w:val="27AE482A"/>
    <w:rsid w:val="27B402F1"/>
    <w:rsid w:val="27B77E5B"/>
    <w:rsid w:val="27E6038A"/>
    <w:rsid w:val="27F232D9"/>
    <w:rsid w:val="27F85765"/>
    <w:rsid w:val="282F63C6"/>
    <w:rsid w:val="286B71E5"/>
    <w:rsid w:val="287C685A"/>
    <w:rsid w:val="28F6136E"/>
    <w:rsid w:val="29405E9D"/>
    <w:rsid w:val="297D2DFF"/>
    <w:rsid w:val="29BA760A"/>
    <w:rsid w:val="29C63095"/>
    <w:rsid w:val="29E364F9"/>
    <w:rsid w:val="29E67293"/>
    <w:rsid w:val="29EF3C6E"/>
    <w:rsid w:val="29F65A61"/>
    <w:rsid w:val="29F67F29"/>
    <w:rsid w:val="2A1C360A"/>
    <w:rsid w:val="2A1E37B1"/>
    <w:rsid w:val="2A1F4F2D"/>
    <w:rsid w:val="2A261D85"/>
    <w:rsid w:val="2A6033D4"/>
    <w:rsid w:val="2A72188D"/>
    <w:rsid w:val="2A7C26F6"/>
    <w:rsid w:val="2A9D251C"/>
    <w:rsid w:val="2AAB1E75"/>
    <w:rsid w:val="2ABB5D9C"/>
    <w:rsid w:val="2AD07540"/>
    <w:rsid w:val="2B0D0850"/>
    <w:rsid w:val="2B160E6F"/>
    <w:rsid w:val="2B3523B0"/>
    <w:rsid w:val="2B373B1E"/>
    <w:rsid w:val="2B4B6154"/>
    <w:rsid w:val="2B64127E"/>
    <w:rsid w:val="2BA6170E"/>
    <w:rsid w:val="2BA94A1C"/>
    <w:rsid w:val="2BAA613D"/>
    <w:rsid w:val="2BBD72A9"/>
    <w:rsid w:val="2BE101DD"/>
    <w:rsid w:val="2C283529"/>
    <w:rsid w:val="2C772424"/>
    <w:rsid w:val="2C7A0A44"/>
    <w:rsid w:val="2C83526D"/>
    <w:rsid w:val="2CB312D1"/>
    <w:rsid w:val="2CC33F0F"/>
    <w:rsid w:val="2D4740D0"/>
    <w:rsid w:val="2D564730"/>
    <w:rsid w:val="2D5E37D6"/>
    <w:rsid w:val="2D624F61"/>
    <w:rsid w:val="2D750D43"/>
    <w:rsid w:val="2D79237A"/>
    <w:rsid w:val="2DB56DA0"/>
    <w:rsid w:val="2E0979F4"/>
    <w:rsid w:val="2E33377B"/>
    <w:rsid w:val="2E530C6F"/>
    <w:rsid w:val="2E574370"/>
    <w:rsid w:val="2E6C1478"/>
    <w:rsid w:val="2EA15273"/>
    <w:rsid w:val="2EA7182E"/>
    <w:rsid w:val="2EDA71AF"/>
    <w:rsid w:val="2EE47B19"/>
    <w:rsid w:val="2F0912B5"/>
    <w:rsid w:val="2F1812EC"/>
    <w:rsid w:val="2F5A43E3"/>
    <w:rsid w:val="2F682560"/>
    <w:rsid w:val="2F6B0429"/>
    <w:rsid w:val="2F7B237E"/>
    <w:rsid w:val="2F882B9B"/>
    <w:rsid w:val="2FA052EB"/>
    <w:rsid w:val="2FD647A9"/>
    <w:rsid w:val="2FE121AC"/>
    <w:rsid w:val="300414D2"/>
    <w:rsid w:val="300631C6"/>
    <w:rsid w:val="302461B3"/>
    <w:rsid w:val="30660926"/>
    <w:rsid w:val="30AE22AE"/>
    <w:rsid w:val="30BF0024"/>
    <w:rsid w:val="30DA11D4"/>
    <w:rsid w:val="31151939"/>
    <w:rsid w:val="311F0FAA"/>
    <w:rsid w:val="317A67AA"/>
    <w:rsid w:val="318B6972"/>
    <w:rsid w:val="3195334D"/>
    <w:rsid w:val="31D2116B"/>
    <w:rsid w:val="31FB371D"/>
    <w:rsid w:val="320F4F19"/>
    <w:rsid w:val="3233434E"/>
    <w:rsid w:val="32487229"/>
    <w:rsid w:val="325A20DF"/>
    <w:rsid w:val="326A47D9"/>
    <w:rsid w:val="32726D33"/>
    <w:rsid w:val="327A60AD"/>
    <w:rsid w:val="328207DD"/>
    <w:rsid w:val="32BD439A"/>
    <w:rsid w:val="32F10BFB"/>
    <w:rsid w:val="32FF3876"/>
    <w:rsid w:val="33341F53"/>
    <w:rsid w:val="336F33A8"/>
    <w:rsid w:val="33896B7B"/>
    <w:rsid w:val="34072D17"/>
    <w:rsid w:val="342263F0"/>
    <w:rsid w:val="34262AFD"/>
    <w:rsid w:val="34311A53"/>
    <w:rsid w:val="343E1A7A"/>
    <w:rsid w:val="344057F2"/>
    <w:rsid w:val="34863A0B"/>
    <w:rsid w:val="34AB1A4A"/>
    <w:rsid w:val="34B74AAA"/>
    <w:rsid w:val="34BD5094"/>
    <w:rsid w:val="34DB03E2"/>
    <w:rsid w:val="34ED486B"/>
    <w:rsid w:val="355359F9"/>
    <w:rsid w:val="35551771"/>
    <w:rsid w:val="356A1976"/>
    <w:rsid w:val="357C35B0"/>
    <w:rsid w:val="359F43E0"/>
    <w:rsid w:val="35B339CA"/>
    <w:rsid w:val="35B9585C"/>
    <w:rsid w:val="35C01750"/>
    <w:rsid w:val="35D25717"/>
    <w:rsid w:val="36293496"/>
    <w:rsid w:val="36666714"/>
    <w:rsid w:val="36BD039A"/>
    <w:rsid w:val="36CF7301"/>
    <w:rsid w:val="36F54D94"/>
    <w:rsid w:val="37142E18"/>
    <w:rsid w:val="37490E61"/>
    <w:rsid w:val="377A54BF"/>
    <w:rsid w:val="377E7CE5"/>
    <w:rsid w:val="378D14C9"/>
    <w:rsid w:val="378E0F6A"/>
    <w:rsid w:val="378E2D18"/>
    <w:rsid w:val="37946B40"/>
    <w:rsid w:val="37AF3154"/>
    <w:rsid w:val="38030DE7"/>
    <w:rsid w:val="381763A2"/>
    <w:rsid w:val="38440C3B"/>
    <w:rsid w:val="389D13B2"/>
    <w:rsid w:val="38B17DAB"/>
    <w:rsid w:val="38BA6A96"/>
    <w:rsid w:val="38C35019"/>
    <w:rsid w:val="38EA4CC3"/>
    <w:rsid w:val="390724EF"/>
    <w:rsid w:val="393B0C7E"/>
    <w:rsid w:val="39500847"/>
    <w:rsid w:val="397679A0"/>
    <w:rsid w:val="397B1CF9"/>
    <w:rsid w:val="39A72EC5"/>
    <w:rsid w:val="39C80A8D"/>
    <w:rsid w:val="39D8471E"/>
    <w:rsid w:val="39F06E72"/>
    <w:rsid w:val="3A370591"/>
    <w:rsid w:val="3A37310E"/>
    <w:rsid w:val="3A3951EC"/>
    <w:rsid w:val="3AA85B03"/>
    <w:rsid w:val="3AB605BC"/>
    <w:rsid w:val="3AC058DE"/>
    <w:rsid w:val="3AD8338B"/>
    <w:rsid w:val="3B102C2A"/>
    <w:rsid w:val="3B13083B"/>
    <w:rsid w:val="3B18328A"/>
    <w:rsid w:val="3B24784C"/>
    <w:rsid w:val="3B353441"/>
    <w:rsid w:val="3B6167B0"/>
    <w:rsid w:val="3BE155EE"/>
    <w:rsid w:val="3C091F84"/>
    <w:rsid w:val="3C1D3C14"/>
    <w:rsid w:val="3C2518C1"/>
    <w:rsid w:val="3C776471"/>
    <w:rsid w:val="3C797AF3"/>
    <w:rsid w:val="3C9541F9"/>
    <w:rsid w:val="3CA1704A"/>
    <w:rsid w:val="3CB73764"/>
    <w:rsid w:val="3D0D307C"/>
    <w:rsid w:val="3D2739C8"/>
    <w:rsid w:val="3D2D6B2F"/>
    <w:rsid w:val="3D680C3B"/>
    <w:rsid w:val="3D684F9F"/>
    <w:rsid w:val="3D8D3523"/>
    <w:rsid w:val="3D8F3346"/>
    <w:rsid w:val="3DB87052"/>
    <w:rsid w:val="3DC12D0A"/>
    <w:rsid w:val="3DE2532C"/>
    <w:rsid w:val="3DF1724F"/>
    <w:rsid w:val="3DFC3E2D"/>
    <w:rsid w:val="3E027EEC"/>
    <w:rsid w:val="3E1D0D4C"/>
    <w:rsid w:val="3E2E7942"/>
    <w:rsid w:val="3E742C68"/>
    <w:rsid w:val="3E985603"/>
    <w:rsid w:val="3EAE7483"/>
    <w:rsid w:val="3EB219E2"/>
    <w:rsid w:val="3ED71527"/>
    <w:rsid w:val="3EDC6ECD"/>
    <w:rsid w:val="3F1B326B"/>
    <w:rsid w:val="3F3C6758"/>
    <w:rsid w:val="3F607DC2"/>
    <w:rsid w:val="3F7153F9"/>
    <w:rsid w:val="3F742888"/>
    <w:rsid w:val="3F7A6C72"/>
    <w:rsid w:val="3F852C53"/>
    <w:rsid w:val="3FA03B8A"/>
    <w:rsid w:val="3FA74741"/>
    <w:rsid w:val="3FAE1A59"/>
    <w:rsid w:val="3FBB1FB5"/>
    <w:rsid w:val="3FBE50DF"/>
    <w:rsid w:val="3FC96D42"/>
    <w:rsid w:val="3FCE742E"/>
    <w:rsid w:val="3FF0092B"/>
    <w:rsid w:val="405E5E4D"/>
    <w:rsid w:val="406B6A21"/>
    <w:rsid w:val="40844A74"/>
    <w:rsid w:val="40B053D7"/>
    <w:rsid w:val="40F57664"/>
    <w:rsid w:val="411053AE"/>
    <w:rsid w:val="41164303"/>
    <w:rsid w:val="41D34986"/>
    <w:rsid w:val="41D54748"/>
    <w:rsid w:val="420A3B8A"/>
    <w:rsid w:val="420A5E55"/>
    <w:rsid w:val="421760DD"/>
    <w:rsid w:val="423C60F0"/>
    <w:rsid w:val="426106DC"/>
    <w:rsid w:val="426B0AC6"/>
    <w:rsid w:val="429E0669"/>
    <w:rsid w:val="42D71C82"/>
    <w:rsid w:val="42E97948"/>
    <w:rsid w:val="430C57CD"/>
    <w:rsid w:val="43104651"/>
    <w:rsid w:val="4323244F"/>
    <w:rsid w:val="43292347"/>
    <w:rsid w:val="432B2A1F"/>
    <w:rsid w:val="433409E5"/>
    <w:rsid w:val="4356216B"/>
    <w:rsid w:val="4389458F"/>
    <w:rsid w:val="438D15AC"/>
    <w:rsid w:val="43CE7E20"/>
    <w:rsid w:val="43EC7BBD"/>
    <w:rsid w:val="44082C3B"/>
    <w:rsid w:val="44211231"/>
    <w:rsid w:val="44684177"/>
    <w:rsid w:val="44686BBB"/>
    <w:rsid w:val="44730071"/>
    <w:rsid w:val="448C05DF"/>
    <w:rsid w:val="44BF6FC0"/>
    <w:rsid w:val="44CF2D69"/>
    <w:rsid w:val="44E2739E"/>
    <w:rsid w:val="45253CD9"/>
    <w:rsid w:val="452632D1"/>
    <w:rsid w:val="45422A63"/>
    <w:rsid w:val="459B6062"/>
    <w:rsid w:val="459E3BB6"/>
    <w:rsid w:val="459F429F"/>
    <w:rsid w:val="45C06792"/>
    <w:rsid w:val="45F31426"/>
    <w:rsid w:val="461B085D"/>
    <w:rsid w:val="468635AE"/>
    <w:rsid w:val="469744A7"/>
    <w:rsid w:val="46AD6023"/>
    <w:rsid w:val="46C563B6"/>
    <w:rsid w:val="46F534FF"/>
    <w:rsid w:val="47075398"/>
    <w:rsid w:val="471E192F"/>
    <w:rsid w:val="472344BA"/>
    <w:rsid w:val="4723522B"/>
    <w:rsid w:val="475C24EB"/>
    <w:rsid w:val="47607F2F"/>
    <w:rsid w:val="477B5214"/>
    <w:rsid w:val="4780267D"/>
    <w:rsid w:val="4786087E"/>
    <w:rsid w:val="479954ED"/>
    <w:rsid w:val="47E37A86"/>
    <w:rsid w:val="47FF4D96"/>
    <w:rsid w:val="481B23A6"/>
    <w:rsid w:val="48686CE8"/>
    <w:rsid w:val="486D154D"/>
    <w:rsid w:val="488757AF"/>
    <w:rsid w:val="48A93BC1"/>
    <w:rsid w:val="48C742DC"/>
    <w:rsid w:val="48CC2994"/>
    <w:rsid w:val="48DE3578"/>
    <w:rsid w:val="48EC0D41"/>
    <w:rsid w:val="49000D76"/>
    <w:rsid w:val="49044C3F"/>
    <w:rsid w:val="49504F62"/>
    <w:rsid w:val="49783701"/>
    <w:rsid w:val="497A1713"/>
    <w:rsid w:val="497D4FCC"/>
    <w:rsid w:val="49AF4106"/>
    <w:rsid w:val="49BC54C3"/>
    <w:rsid w:val="49E012F6"/>
    <w:rsid w:val="4A104EFF"/>
    <w:rsid w:val="4A395BB5"/>
    <w:rsid w:val="4A963F66"/>
    <w:rsid w:val="4A9B32CD"/>
    <w:rsid w:val="4AAD6D5E"/>
    <w:rsid w:val="4AB66502"/>
    <w:rsid w:val="4AD31DFF"/>
    <w:rsid w:val="4AE0472C"/>
    <w:rsid w:val="4AE41175"/>
    <w:rsid w:val="4AFC2912"/>
    <w:rsid w:val="4B272E10"/>
    <w:rsid w:val="4B6B53F2"/>
    <w:rsid w:val="4BB5041C"/>
    <w:rsid w:val="4BB548C0"/>
    <w:rsid w:val="4BE60F1D"/>
    <w:rsid w:val="4C150F1C"/>
    <w:rsid w:val="4C987CD0"/>
    <w:rsid w:val="4CDB2BC4"/>
    <w:rsid w:val="4CF82CB6"/>
    <w:rsid w:val="4D6E11CA"/>
    <w:rsid w:val="4D874D5B"/>
    <w:rsid w:val="4DCB2867"/>
    <w:rsid w:val="4DEB05BB"/>
    <w:rsid w:val="4DED20EF"/>
    <w:rsid w:val="4E047B7B"/>
    <w:rsid w:val="4E0942D7"/>
    <w:rsid w:val="4E291031"/>
    <w:rsid w:val="4E3244EB"/>
    <w:rsid w:val="4E3D2E02"/>
    <w:rsid w:val="4E572F2D"/>
    <w:rsid w:val="4E6B4928"/>
    <w:rsid w:val="4E7D488E"/>
    <w:rsid w:val="4E9226BB"/>
    <w:rsid w:val="4E9B580B"/>
    <w:rsid w:val="4EA5145D"/>
    <w:rsid w:val="4EC633F6"/>
    <w:rsid w:val="4EC96A4A"/>
    <w:rsid w:val="4EF94AC3"/>
    <w:rsid w:val="4F173534"/>
    <w:rsid w:val="4F1E2275"/>
    <w:rsid w:val="4F291DCE"/>
    <w:rsid w:val="4F3076C4"/>
    <w:rsid w:val="4F483C6B"/>
    <w:rsid w:val="4F603CA4"/>
    <w:rsid w:val="4FAB75CB"/>
    <w:rsid w:val="4FC0263A"/>
    <w:rsid w:val="4FCE5F50"/>
    <w:rsid w:val="4FFA278F"/>
    <w:rsid w:val="504306EC"/>
    <w:rsid w:val="50661E7C"/>
    <w:rsid w:val="50794DA7"/>
    <w:rsid w:val="509A59E7"/>
    <w:rsid w:val="50A56CB1"/>
    <w:rsid w:val="50AC11E4"/>
    <w:rsid w:val="50AC44E3"/>
    <w:rsid w:val="50E1107E"/>
    <w:rsid w:val="50EF3442"/>
    <w:rsid w:val="514F4E6E"/>
    <w:rsid w:val="515A7269"/>
    <w:rsid w:val="51ED3084"/>
    <w:rsid w:val="51F37EF0"/>
    <w:rsid w:val="51F429D1"/>
    <w:rsid w:val="5214510F"/>
    <w:rsid w:val="524424F9"/>
    <w:rsid w:val="52484CBE"/>
    <w:rsid w:val="52616DA0"/>
    <w:rsid w:val="52863676"/>
    <w:rsid w:val="52A87F1E"/>
    <w:rsid w:val="53083527"/>
    <w:rsid w:val="533646AD"/>
    <w:rsid w:val="533E592F"/>
    <w:rsid w:val="534375E2"/>
    <w:rsid w:val="5350386E"/>
    <w:rsid w:val="536D70C8"/>
    <w:rsid w:val="536F1460"/>
    <w:rsid w:val="538A5890"/>
    <w:rsid w:val="53957C99"/>
    <w:rsid w:val="53A138C5"/>
    <w:rsid w:val="53AF4A8D"/>
    <w:rsid w:val="53C40E4E"/>
    <w:rsid w:val="53C55208"/>
    <w:rsid w:val="53DC3150"/>
    <w:rsid w:val="540B1521"/>
    <w:rsid w:val="540C7DCC"/>
    <w:rsid w:val="544220DE"/>
    <w:rsid w:val="544D38E7"/>
    <w:rsid w:val="545F3449"/>
    <w:rsid w:val="547E7F44"/>
    <w:rsid w:val="548733C0"/>
    <w:rsid w:val="548C7215"/>
    <w:rsid w:val="54BC569F"/>
    <w:rsid w:val="54ED6EBD"/>
    <w:rsid w:val="555667CB"/>
    <w:rsid w:val="5572469F"/>
    <w:rsid w:val="55755630"/>
    <w:rsid w:val="558502CB"/>
    <w:rsid w:val="55860208"/>
    <w:rsid w:val="5589244C"/>
    <w:rsid w:val="55A0213D"/>
    <w:rsid w:val="55A067F3"/>
    <w:rsid w:val="55AA3652"/>
    <w:rsid w:val="55BF0F9B"/>
    <w:rsid w:val="55D72C4B"/>
    <w:rsid w:val="55FD1753"/>
    <w:rsid w:val="56496330"/>
    <w:rsid w:val="566651C1"/>
    <w:rsid w:val="567767B2"/>
    <w:rsid w:val="569270E4"/>
    <w:rsid w:val="56AF1DF3"/>
    <w:rsid w:val="57073709"/>
    <w:rsid w:val="573C3E57"/>
    <w:rsid w:val="573F0466"/>
    <w:rsid w:val="57400A23"/>
    <w:rsid w:val="574870ED"/>
    <w:rsid w:val="57AC4FE6"/>
    <w:rsid w:val="57C30761"/>
    <w:rsid w:val="57D741EA"/>
    <w:rsid w:val="58035E1A"/>
    <w:rsid w:val="580D4D06"/>
    <w:rsid w:val="58453BE5"/>
    <w:rsid w:val="58AA2D6A"/>
    <w:rsid w:val="58BA52C3"/>
    <w:rsid w:val="58C67178"/>
    <w:rsid w:val="591762DD"/>
    <w:rsid w:val="59221701"/>
    <w:rsid w:val="597634D8"/>
    <w:rsid w:val="598F4BC6"/>
    <w:rsid w:val="5A11311C"/>
    <w:rsid w:val="5A1E4F22"/>
    <w:rsid w:val="5A2C0443"/>
    <w:rsid w:val="5A3647E6"/>
    <w:rsid w:val="5A367CF9"/>
    <w:rsid w:val="5A6809CC"/>
    <w:rsid w:val="5A7D3F6E"/>
    <w:rsid w:val="5A9B1124"/>
    <w:rsid w:val="5AC944FB"/>
    <w:rsid w:val="5ADE5ECE"/>
    <w:rsid w:val="5AF117F7"/>
    <w:rsid w:val="5B13515F"/>
    <w:rsid w:val="5B2D59BC"/>
    <w:rsid w:val="5B647768"/>
    <w:rsid w:val="5B9E74B2"/>
    <w:rsid w:val="5BA54009"/>
    <w:rsid w:val="5BED59B0"/>
    <w:rsid w:val="5C2B5E26"/>
    <w:rsid w:val="5C772480"/>
    <w:rsid w:val="5C936557"/>
    <w:rsid w:val="5CB62246"/>
    <w:rsid w:val="5CB724C2"/>
    <w:rsid w:val="5CB927EA"/>
    <w:rsid w:val="5CC16B37"/>
    <w:rsid w:val="5CC426D5"/>
    <w:rsid w:val="5CC93458"/>
    <w:rsid w:val="5CE55DE5"/>
    <w:rsid w:val="5D121033"/>
    <w:rsid w:val="5D2111EA"/>
    <w:rsid w:val="5D3B49BA"/>
    <w:rsid w:val="5D4E698B"/>
    <w:rsid w:val="5DA710C3"/>
    <w:rsid w:val="5DB76275"/>
    <w:rsid w:val="5DD501CB"/>
    <w:rsid w:val="5DDD3085"/>
    <w:rsid w:val="5E3D3BE5"/>
    <w:rsid w:val="5E3E5AF5"/>
    <w:rsid w:val="5E4E57C5"/>
    <w:rsid w:val="5EC24ED2"/>
    <w:rsid w:val="5F1B4E0F"/>
    <w:rsid w:val="5F1F168D"/>
    <w:rsid w:val="5F6847A5"/>
    <w:rsid w:val="5F685A79"/>
    <w:rsid w:val="5F727C47"/>
    <w:rsid w:val="5FBA3000"/>
    <w:rsid w:val="5FF9272C"/>
    <w:rsid w:val="60341DFF"/>
    <w:rsid w:val="60430294"/>
    <w:rsid w:val="60537D8B"/>
    <w:rsid w:val="607C1127"/>
    <w:rsid w:val="60B73390"/>
    <w:rsid w:val="60C05441"/>
    <w:rsid w:val="60FA4DF7"/>
    <w:rsid w:val="6165555F"/>
    <w:rsid w:val="61840B64"/>
    <w:rsid w:val="618A6BAB"/>
    <w:rsid w:val="61CC7E57"/>
    <w:rsid w:val="61F65C1C"/>
    <w:rsid w:val="62077A84"/>
    <w:rsid w:val="62157A0E"/>
    <w:rsid w:val="62613C89"/>
    <w:rsid w:val="626D39E9"/>
    <w:rsid w:val="627544E4"/>
    <w:rsid w:val="62BD432E"/>
    <w:rsid w:val="62C74651"/>
    <w:rsid w:val="62CB5118"/>
    <w:rsid w:val="62DF2BC6"/>
    <w:rsid w:val="63035AB9"/>
    <w:rsid w:val="63352116"/>
    <w:rsid w:val="633867C7"/>
    <w:rsid w:val="636504FC"/>
    <w:rsid w:val="63730E90"/>
    <w:rsid w:val="63C86BF3"/>
    <w:rsid w:val="63DF6526"/>
    <w:rsid w:val="6400111A"/>
    <w:rsid w:val="64835103"/>
    <w:rsid w:val="64AA6F5E"/>
    <w:rsid w:val="64BF60B1"/>
    <w:rsid w:val="64D67929"/>
    <w:rsid w:val="64EA7626"/>
    <w:rsid w:val="64ED1805"/>
    <w:rsid w:val="65195529"/>
    <w:rsid w:val="652B3689"/>
    <w:rsid w:val="65BF03BD"/>
    <w:rsid w:val="65C55F39"/>
    <w:rsid w:val="65CB5880"/>
    <w:rsid w:val="65E11B37"/>
    <w:rsid w:val="65F10827"/>
    <w:rsid w:val="660B2AD9"/>
    <w:rsid w:val="660B3392"/>
    <w:rsid w:val="663012BB"/>
    <w:rsid w:val="66694CB0"/>
    <w:rsid w:val="66811EC4"/>
    <w:rsid w:val="66B41E15"/>
    <w:rsid w:val="66BC1470"/>
    <w:rsid w:val="66C90CE8"/>
    <w:rsid w:val="670470C0"/>
    <w:rsid w:val="670F149E"/>
    <w:rsid w:val="67472D0B"/>
    <w:rsid w:val="675C0DF8"/>
    <w:rsid w:val="67BC2E06"/>
    <w:rsid w:val="67C67CD4"/>
    <w:rsid w:val="67EC3E3F"/>
    <w:rsid w:val="680E73DA"/>
    <w:rsid w:val="682D08E2"/>
    <w:rsid w:val="686739D9"/>
    <w:rsid w:val="68766B53"/>
    <w:rsid w:val="68923B67"/>
    <w:rsid w:val="68D53E8D"/>
    <w:rsid w:val="690B0E8D"/>
    <w:rsid w:val="690B180E"/>
    <w:rsid w:val="69163295"/>
    <w:rsid w:val="693B4675"/>
    <w:rsid w:val="694609B5"/>
    <w:rsid w:val="694F65F1"/>
    <w:rsid w:val="69A634F6"/>
    <w:rsid w:val="69CC12FA"/>
    <w:rsid w:val="6A0C22B5"/>
    <w:rsid w:val="6A0D75CD"/>
    <w:rsid w:val="6A372C18"/>
    <w:rsid w:val="6AD46A66"/>
    <w:rsid w:val="6B523D45"/>
    <w:rsid w:val="6B647ABE"/>
    <w:rsid w:val="6B854184"/>
    <w:rsid w:val="6B8E4F0B"/>
    <w:rsid w:val="6BA37D7A"/>
    <w:rsid w:val="6BC0675D"/>
    <w:rsid w:val="6BE45F41"/>
    <w:rsid w:val="6C2216A6"/>
    <w:rsid w:val="6C5A227E"/>
    <w:rsid w:val="6C7D1EC2"/>
    <w:rsid w:val="6C7E398C"/>
    <w:rsid w:val="6CB7437F"/>
    <w:rsid w:val="6CB86EC7"/>
    <w:rsid w:val="6CDA0F3F"/>
    <w:rsid w:val="6D1C60F5"/>
    <w:rsid w:val="6D6D0317"/>
    <w:rsid w:val="6D711FE3"/>
    <w:rsid w:val="6DA77D99"/>
    <w:rsid w:val="6DAF26FE"/>
    <w:rsid w:val="6DC74F9B"/>
    <w:rsid w:val="6DD57E2D"/>
    <w:rsid w:val="6E041E95"/>
    <w:rsid w:val="6E346872"/>
    <w:rsid w:val="6E65148C"/>
    <w:rsid w:val="6E9B274D"/>
    <w:rsid w:val="6EB86F4B"/>
    <w:rsid w:val="6EDD0568"/>
    <w:rsid w:val="6F596247"/>
    <w:rsid w:val="6F877523"/>
    <w:rsid w:val="704716DB"/>
    <w:rsid w:val="70AD15F8"/>
    <w:rsid w:val="70C75FCD"/>
    <w:rsid w:val="70DC797C"/>
    <w:rsid w:val="7112198F"/>
    <w:rsid w:val="712740AF"/>
    <w:rsid w:val="71586B06"/>
    <w:rsid w:val="715F3336"/>
    <w:rsid w:val="71696AEF"/>
    <w:rsid w:val="716B4379"/>
    <w:rsid w:val="717D2A99"/>
    <w:rsid w:val="71823A96"/>
    <w:rsid w:val="71D012D7"/>
    <w:rsid w:val="722639A2"/>
    <w:rsid w:val="722C6DDA"/>
    <w:rsid w:val="72444124"/>
    <w:rsid w:val="724568C0"/>
    <w:rsid w:val="72A22AD2"/>
    <w:rsid w:val="72C556B8"/>
    <w:rsid w:val="72C664D9"/>
    <w:rsid w:val="72CC5E51"/>
    <w:rsid w:val="72CF6FA9"/>
    <w:rsid w:val="72E5562E"/>
    <w:rsid w:val="72E96A79"/>
    <w:rsid w:val="72EC55D7"/>
    <w:rsid w:val="72F26A13"/>
    <w:rsid w:val="73223D39"/>
    <w:rsid w:val="7323696A"/>
    <w:rsid w:val="734E60C5"/>
    <w:rsid w:val="73584FE4"/>
    <w:rsid w:val="738B58EE"/>
    <w:rsid w:val="73C82B32"/>
    <w:rsid w:val="73F456D6"/>
    <w:rsid w:val="74020B95"/>
    <w:rsid w:val="741C4C2C"/>
    <w:rsid w:val="74384AB6"/>
    <w:rsid w:val="74581611"/>
    <w:rsid w:val="74610332"/>
    <w:rsid w:val="746B7778"/>
    <w:rsid w:val="74987242"/>
    <w:rsid w:val="74EF3FAF"/>
    <w:rsid w:val="74FB2A1E"/>
    <w:rsid w:val="751D6A29"/>
    <w:rsid w:val="753F7B88"/>
    <w:rsid w:val="754629B3"/>
    <w:rsid w:val="75484141"/>
    <w:rsid w:val="75685BE8"/>
    <w:rsid w:val="75750A98"/>
    <w:rsid w:val="75C24FEE"/>
    <w:rsid w:val="75DE01A3"/>
    <w:rsid w:val="75F8738A"/>
    <w:rsid w:val="76231A9B"/>
    <w:rsid w:val="76377AFB"/>
    <w:rsid w:val="76551D8E"/>
    <w:rsid w:val="76883957"/>
    <w:rsid w:val="768840E8"/>
    <w:rsid w:val="769935ED"/>
    <w:rsid w:val="76CF1C1E"/>
    <w:rsid w:val="77003875"/>
    <w:rsid w:val="77377B98"/>
    <w:rsid w:val="77543075"/>
    <w:rsid w:val="7755028D"/>
    <w:rsid w:val="77571115"/>
    <w:rsid w:val="779A1B40"/>
    <w:rsid w:val="77A51799"/>
    <w:rsid w:val="77A613DD"/>
    <w:rsid w:val="77D6282E"/>
    <w:rsid w:val="77EA0066"/>
    <w:rsid w:val="780103C1"/>
    <w:rsid w:val="78092196"/>
    <w:rsid w:val="78320EC2"/>
    <w:rsid w:val="78537116"/>
    <w:rsid w:val="787B2E31"/>
    <w:rsid w:val="78E018DC"/>
    <w:rsid w:val="78F4368E"/>
    <w:rsid w:val="79052133"/>
    <w:rsid w:val="79102D69"/>
    <w:rsid w:val="792611F2"/>
    <w:rsid w:val="79366790"/>
    <w:rsid w:val="79421D81"/>
    <w:rsid w:val="79635B01"/>
    <w:rsid w:val="796C3F60"/>
    <w:rsid w:val="798008CE"/>
    <w:rsid w:val="79AD3FED"/>
    <w:rsid w:val="79FB1AEC"/>
    <w:rsid w:val="7A251E0B"/>
    <w:rsid w:val="7A521A99"/>
    <w:rsid w:val="7A794B87"/>
    <w:rsid w:val="7A7B255C"/>
    <w:rsid w:val="7A817D27"/>
    <w:rsid w:val="7A9762AA"/>
    <w:rsid w:val="7A9E6A77"/>
    <w:rsid w:val="7AAA5FC8"/>
    <w:rsid w:val="7AEB1C6C"/>
    <w:rsid w:val="7B012FCF"/>
    <w:rsid w:val="7B073802"/>
    <w:rsid w:val="7B164488"/>
    <w:rsid w:val="7B3F1C91"/>
    <w:rsid w:val="7B563466"/>
    <w:rsid w:val="7B5D0004"/>
    <w:rsid w:val="7BD8611A"/>
    <w:rsid w:val="7BE95D3C"/>
    <w:rsid w:val="7C162503"/>
    <w:rsid w:val="7C1A5F8F"/>
    <w:rsid w:val="7C460A98"/>
    <w:rsid w:val="7C491653"/>
    <w:rsid w:val="7C7E095D"/>
    <w:rsid w:val="7C8A307B"/>
    <w:rsid w:val="7C923CDE"/>
    <w:rsid w:val="7CBA1913"/>
    <w:rsid w:val="7CBB1486"/>
    <w:rsid w:val="7CD30DCF"/>
    <w:rsid w:val="7CFC5423"/>
    <w:rsid w:val="7D157839"/>
    <w:rsid w:val="7D67016B"/>
    <w:rsid w:val="7D8047E4"/>
    <w:rsid w:val="7D807FDA"/>
    <w:rsid w:val="7DF27AE5"/>
    <w:rsid w:val="7E1728F8"/>
    <w:rsid w:val="7E254984"/>
    <w:rsid w:val="7E435BD1"/>
    <w:rsid w:val="7E6748AC"/>
    <w:rsid w:val="7E681795"/>
    <w:rsid w:val="7E681F5F"/>
    <w:rsid w:val="7E945BDB"/>
    <w:rsid w:val="7E9F7792"/>
    <w:rsid w:val="7EAA27F1"/>
    <w:rsid w:val="7EAB4E7D"/>
    <w:rsid w:val="7EC00F7A"/>
    <w:rsid w:val="7ED304DC"/>
    <w:rsid w:val="7EE31C1F"/>
    <w:rsid w:val="7EFB3F77"/>
    <w:rsid w:val="7EFF7A60"/>
    <w:rsid w:val="7F0011D3"/>
    <w:rsid w:val="7F3361BC"/>
    <w:rsid w:val="7F587D21"/>
    <w:rsid w:val="7F633A45"/>
    <w:rsid w:val="7F8A2D8F"/>
    <w:rsid w:val="7F914402"/>
    <w:rsid w:val="7FCE2C0D"/>
    <w:rsid w:val="7FE32FE8"/>
    <w:rsid w:val="7FED7DA5"/>
    <w:rsid w:val="7FF5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line="360" w:lineRule="auto"/>
      <w:outlineLvl w:val="0"/>
    </w:pPr>
    <w:rPr>
      <w:b/>
      <w:bCs/>
      <w:kern w:val="44"/>
      <w:sz w:val="32"/>
      <w:szCs w:val="44"/>
    </w:rPr>
  </w:style>
  <w:style w:type="paragraph" w:styleId="3">
    <w:name w:val="heading 2"/>
    <w:basedOn w:val="1"/>
    <w:next w:val="1"/>
    <w:autoRedefine/>
    <w:qFormat/>
    <w:uiPriority w:val="1"/>
    <w:pPr>
      <w:spacing w:before="50"/>
      <w:ind w:left="970" w:right="1050"/>
      <w:jc w:val="both"/>
      <w:outlineLvl w:val="2"/>
    </w:pPr>
    <w:rPr>
      <w:rFonts w:ascii="宋体" w:hAnsi="宋体" w:eastAsia="宋体" w:cs="宋体"/>
      <w:sz w:val="36"/>
      <w:szCs w:val="36"/>
      <w:lang w:val="en-US" w:eastAsia="zh-CN" w:bidi="ar-SA"/>
    </w:rPr>
  </w:style>
  <w:style w:type="paragraph" w:styleId="4">
    <w:name w:val="heading 3"/>
    <w:basedOn w:val="1"/>
    <w:next w:val="1"/>
    <w:autoRedefine/>
    <w:qFormat/>
    <w:uiPriority w:val="0"/>
    <w:pPr>
      <w:keepNext/>
      <w:keepLines/>
      <w:spacing w:line="360" w:lineRule="auto"/>
      <w:outlineLvl w:val="2"/>
    </w:pPr>
    <w:rPr>
      <w:b/>
      <w:bCs/>
      <w:sz w:val="24"/>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qFormat/>
    <w:uiPriority w:val="1"/>
    <w:pPr>
      <w:spacing w:before="63"/>
      <w:ind w:left="1139"/>
      <w:jc w:val="center"/>
      <w:outlineLvl w:val="5"/>
    </w:pPr>
    <w:rPr>
      <w:rFonts w:ascii="宋体" w:hAnsi="宋体" w:eastAsia="宋体" w:cs="宋体"/>
      <w:b/>
      <w:bCs/>
      <w:sz w:val="29"/>
      <w:szCs w:val="29"/>
      <w:lang w:val="zh-CN" w:eastAsia="zh-CN" w:bidi="zh-CN"/>
    </w:rPr>
  </w:style>
  <w:style w:type="paragraph" w:styleId="7">
    <w:name w:val="heading 7"/>
    <w:basedOn w:val="1"/>
    <w:next w:val="1"/>
    <w:autoRedefine/>
    <w:qFormat/>
    <w:uiPriority w:val="1"/>
    <w:pPr>
      <w:spacing w:before="1"/>
      <w:ind w:left="914" w:hanging="472"/>
      <w:outlineLvl w:val="6"/>
    </w:pPr>
    <w:rPr>
      <w:rFonts w:ascii="宋体" w:hAnsi="宋体" w:eastAsia="宋体" w:cs="宋体"/>
      <w:b/>
      <w:bCs/>
      <w:sz w:val="23"/>
      <w:szCs w:val="23"/>
      <w:lang w:val="zh-CN" w:eastAsia="zh-CN" w:bidi="zh-CN"/>
    </w:rPr>
  </w:style>
  <w:style w:type="character" w:default="1" w:styleId="30">
    <w:name w:val="Default Paragraph Font"/>
    <w:autoRedefine/>
    <w:semiHidden/>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8">
    <w:name w:val="Normal Indent"/>
    <w:basedOn w:val="1"/>
    <w:autoRedefine/>
    <w:qFormat/>
    <w:uiPriority w:val="0"/>
    <w:pPr>
      <w:widowControl w:val="0"/>
      <w:autoSpaceDE w:val="0"/>
      <w:autoSpaceDN w:val="0"/>
      <w:adjustRightInd w:val="0"/>
      <w:ind w:firstLine="420"/>
    </w:pPr>
    <w:rPr>
      <w:rFonts w:hAnsi="Times New Roman" w:cs="Times New Roman"/>
      <w:szCs w:val="20"/>
    </w:rPr>
  </w:style>
  <w:style w:type="paragraph" w:styleId="9">
    <w:name w:val="Document Map"/>
    <w:basedOn w:val="1"/>
    <w:autoRedefine/>
    <w:unhideWhenUsed/>
    <w:qFormat/>
    <w:uiPriority w:val="99"/>
    <w:pPr>
      <w:shd w:val="clear" w:color="auto" w:fill="000080"/>
    </w:pPr>
    <w:rPr>
      <w:rFonts w:eastAsia="仿宋_GB2312"/>
      <w:kern w:val="2"/>
      <w:sz w:val="32"/>
      <w:lang w:val="en-US" w:eastAsia="zh-CN" w:bidi="ar-SA"/>
    </w:rPr>
  </w:style>
  <w:style w:type="paragraph" w:styleId="10">
    <w:name w:val="Body Text"/>
    <w:basedOn w:val="1"/>
    <w:next w:val="11"/>
    <w:autoRedefine/>
    <w:qFormat/>
    <w:uiPriority w:val="0"/>
    <w:pPr>
      <w:jc w:val="center"/>
    </w:pPr>
    <w:rPr>
      <w:rFonts w:hint="eastAsia" w:ascii="宋体" w:hAnsi="宋体"/>
      <w:b/>
      <w:sz w:val="48"/>
    </w:rPr>
  </w:style>
  <w:style w:type="paragraph" w:customStyle="1" w:styleId="11">
    <w:name w:val="style4"/>
    <w:basedOn w:val="1"/>
    <w:next w:val="12"/>
    <w:autoRedefine/>
    <w:qFormat/>
    <w:uiPriority w:val="0"/>
    <w:pPr>
      <w:widowControl/>
      <w:spacing w:before="280" w:after="280"/>
    </w:pPr>
    <w:rPr>
      <w:rFonts w:ascii="宋体"/>
      <w:sz w:val="18"/>
    </w:rPr>
  </w:style>
  <w:style w:type="paragraph" w:customStyle="1" w:styleId="12">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3">
    <w:name w:val="Body Text Indent"/>
    <w:basedOn w:val="1"/>
    <w:autoRedefine/>
    <w:qFormat/>
    <w:uiPriority w:val="0"/>
    <w:pPr>
      <w:spacing w:after="120" w:afterLines="0" w:afterAutospacing="0"/>
      <w:ind w:left="420" w:leftChars="200"/>
    </w:pPr>
  </w:style>
  <w:style w:type="paragraph" w:styleId="14">
    <w:name w:val="toc 3"/>
    <w:basedOn w:val="1"/>
    <w:next w:val="1"/>
    <w:autoRedefine/>
    <w:qFormat/>
    <w:uiPriority w:val="0"/>
    <w:pPr>
      <w:ind w:left="840" w:leftChars="400"/>
    </w:pPr>
  </w:style>
  <w:style w:type="paragraph" w:styleId="15">
    <w:name w:val="Plain Text"/>
    <w:basedOn w:val="1"/>
    <w:autoRedefine/>
    <w:qFormat/>
    <w:uiPriority w:val="0"/>
    <w:rPr>
      <w:rFonts w:ascii="宋体" w:hAnsi="Courier New" w:cs="Courier New"/>
      <w:szCs w:val="21"/>
    </w:rPr>
  </w:style>
  <w:style w:type="paragraph" w:styleId="16">
    <w:name w:val="Body Text Indent 2"/>
    <w:basedOn w:val="1"/>
    <w:autoRedefine/>
    <w:qFormat/>
    <w:uiPriority w:val="0"/>
    <w:pPr>
      <w:spacing w:line="600" w:lineRule="exact"/>
      <w:ind w:firstLine="480" w:firstLineChars="200"/>
    </w:pPr>
    <w:rPr>
      <w:rFonts w:ascii="宋体" w:hAnsi="宋体"/>
      <w:kern w:val="0"/>
      <w:sz w:val="24"/>
      <w:szCs w:val="2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next w:val="17"/>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pPr>
      <w:tabs>
        <w:tab w:val="right" w:leader="dot" w:pos="9628"/>
      </w:tabs>
      <w:ind w:firstLine="420" w:firstLineChars="200"/>
    </w:pPr>
  </w:style>
  <w:style w:type="paragraph" w:styleId="21">
    <w:name w:val="footnote text"/>
    <w:basedOn w:val="1"/>
    <w:qFormat/>
    <w:uiPriority w:val="99"/>
    <w:rPr>
      <w:sz w:val="20"/>
      <w:szCs w:val="20"/>
    </w:rPr>
  </w:style>
  <w:style w:type="paragraph" w:styleId="22">
    <w:name w:val="toc 6"/>
    <w:basedOn w:val="1"/>
    <w:next w:val="1"/>
    <w:autoRedefine/>
    <w:qFormat/>
    <w:uiPriority w:val="0"/>
    <w:pPr>
      <w:ind w:left="2100"/>
    </w:pPr>
  </w:style>
  <w:style w:type="paragraph" w:styleId="23">
    <w:name w:val="Body Text 2"/>
    <w:basedOn w:val="1"/>
    <w:next w:val="10"/>
    <w:autoRedefine/>
    <w:qFormat/>
    <w:uiPriority w:val="0"/>
    <w:pPr>
      <w:widowControl/>
      <w:spacing w:before="100" w:beforeAutospacing="1" w:after="100" w:afterAutospacing="1"/>
      <w:jc w:val="left"/>
    </w:pPr>
    <w:rPr>
      <w:rFonts w:ascii="宋体" w:hAnsi="宋体"/>
      <w:kern w:val="0"/>
      <w:sz w:val="24"/>
    </w:rPr>
  </w:style>
  <w:style w:type="paragraph" w:styleId="24">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6">
    <w:name w:val="Body Text First Indent"/>
    <w:basedOn w:val="10"/>
    <w:next w:val="1"/>
    <w:autoRedefine/>
    <w:qFormat/>
    <w:uiPriority w:val="0"/>
    <w:pPr>
      <w:ind w:firstLine="420" w:firstLineChars="100"/>
    </w:pPr>
  </w:style>
  <w:style w:type="paragraph" w:styleId="27">
    <w:name w:val="Body Text First Indent 2"/>
    <w:basedOn w:val="13"/>
    <w:autoRedefine/>
    <w:qFormat/>
    <w:uiPriority w:val="0"/>
    <w:pPr>
      <w:tabs>
        <w:tab w:val="left" w:pos="945"/>
        <w:tab w:val="left" w:pos="1155"/>
      </w:tabs>
      <w:ind w:firstLine="420" w:firstLineChars="200"/>
    </w:p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style>
  <w:style w:type="character" w:styleId="32">
    <w:name w:val="FollowedHyperlink"/>
    <w:basedOn w:val="30"/>
    <w:autoRedefine/>
    <w:qFormat/>
    <w:uiPriority w:val="0"/>
    <w:rPr>
      <w:color w:val="444444"/>
      <w:sz w:val="21"/>
      <w:szCs w:val="21"/>
      <w:u w:val="none"/>
    </w:rPr>
  </w:style>
  <w:style w:type="character" w:styleId="33">
    <w:name w:val="Emphasis"/>
    <w:basedOn w:val="30"/>
    <w:autoRedefine/>
    <w:qFormat/>
    <w:uiPriority w:val="0"/>
  </w:style>
  <w:style w:type="character" w:styleId="34">
    <w:name w:val="HTML Definition"/>
    <w:basedOn w:val="30"/>
    <w:autoRedefine/>
    <w:qFormat/>
    <w:uiPriority w:val="0"/>
  </w:style>
  <w:style w:type="character" w:styleId="35">
    <w:name w:val="HTML Variable"/>
    <w:basedOn w:val="30"/>
    <w:autoRedefine/>
    <w:qFormat/>
    <w:uiPriority w:val="0"/>
  </w:style>
  <w:style w:type="character" w:styleId="36">
    <w:name w:val="Hyperlink"/>
    <w:basedOn w:val="30"/>
    <w:autoRedefine/>
    <w:qFormat/>
    <w:uiPriority w:val="0"/>
    <w:rPr>
      <w:color w:val="444444"/>
      <w:sz w:val="21"/>
      <w:szCs w:val="21"/>
      <w:u w:val="none"/>
    </w:rPr>
  </w:style>
  <w:style w:type="character" w:styleId="37">
    <w:name w:val="HTML Code"/>
    <w:basedOn w:val="30"/>
    <w:autoRedefine/>
    <w:qFormat/>
    <w:uiPriority w:val="0"/>
    <w:rPr>
      <w:rFonts w:ascii="Courier New" w:hAnsi="Courier New"/>
      <w:sz w:val="20"/>
    </w:rPr>
  </w:style>
  <w:style w:type="character" w:styleId="38">
    <w:name w:val="HTML Cite"/>
    <w:basedOn w:val="30"/>
    <w:autoRedefine/>
    <w:qFormat/>
    <w:uiPriority w:val="0"/>
  </w:style>
  <w:style w:type="paragraph" w:customStyle="1" w:styleId="3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0">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41">
    <w:name w:val="Default"/>
    <w:next w:val="21"/>
    <w:autoRedefine/>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42">
    <w:name w:val="Table Paragraph"/>
    <w:basedOn w:val="1"/>
    <w:autoRedefine/>
    <w:qFormat/>
    <w:uiPriority w:val="1"/>
    <w:rPr>
      <w:rFonts w:ascii="宋体" w:hAnsi="宋体" w:eastAsia="宋体" w:cs="宋体"/>
      <w:lang w:val="zh-CN" w:eastAsia="zh-CN" w:bidi="zh-CN"/>
    </w:rPr>
  </w:style>
  <w:style w:type="paragraph" w:customStyle="1" w:styleId="43">
    <w:name w:val="样式 标题 1 + 黑色 居中"/>
    <w:basedOn w:val="2"/>
    <w:autoRedefine/>
    <w:qFormat/>
    <w:uiPriority w:val="0"/>
    <w:pPr>
      <w:jc w:val="center"/>
    </w:pPr>
    <w:rPr>
      <w:rFonts w:cs="宋体"/>
      <w:color w:val="000000"/>
      <w:szCs w:val="20"/>
    </w:rPr>
  </w:style>
  <w:style w:type="character" w:customStyle="1" w:styleId="44">
    <w:name w:val="hover18"/>
    <w:basedOn w:val="30"/>
    <w:autoRedefine/>
    <w:qFormat/>
    <w:uiPriority w:val="0"/>
  </w:style>
  <w:style w:type="character" w:customStyle="1" w:styleId="45">
    <w:name w:val="mail-contents"/>
    <w:basedOn w:val="30"/>
    <w:autoRedefine/>
    <w:qFormat/>
    <w:uiPriority w:val="0"/>
  </w:style>
  <w:style w:type="character" w:customStyle="1" w:styleId="46">
    <w:name w:val="hover23"/>
    <w:basedOn w:val="30"/>
    <w:autoRedefine/>
    <w:qFormat/>
    <w:uiPriority w:val="0"/>
    <w:rPr>
      <w:color w:val="5FB878"/>
    </w:rPr>
  </w:style>
  <w:style w:type="character" w:customStyle="1" w:styleId="47">
    <w:name w:val="hover24"/>
    <w:basedOn w:val="30"/>
    <w:autoRedefine/>
    <w:qFormat/>
    <w:uiPriority w:val="0"/>
    <w:rPr>
      <w:color w:val="5FB878"/>
    </w:rPr>
  </w:style>
  <w:style w:type="character" w:customStyle="1" w:styleId="48">
    <w:name w:val="hover25"/>
    <w:basedOn w:val="30"/>
    <w:autoRedefine/>
    <w:qFormat/>
    <w:uiPriority w:val="0"/>
    <w:rPr>
      <w:color w:val="FFFFFF"/>
    </w:rPr>
  </w:style>
  <w:style w:type="character" w:customStyle="1" w:styleId="49">
    <w:name w:val="before1"/>
    <w:basedOn w:val="30"/>
    <w:autoRedefine/>
    <w:qFormat/>
    <w:uiPriority w:val="0"/>
    <w:rPr>
      <w:shd w:val="clear" w:fill="DEDEDE"/>
    </w:rPr>
  </w:style>
  <w:style w:type="character" w:customStyle="1" w:styleId="50">
    <w:name w:val="first-child"/>
    <w:basedOn w:val="30"/>
    <w:autoRedefine/>
    <w:qFormat/>
    <w:uiPriority w:val="0"/>
  </w:style>
  <w:style w:type="character" w:customStyle="1" w:styleId="51">
    <w:name w:val="layui-this2"/>
    <w:basedOn w:val="30"/>
    <w:autoRedefine/>
    <w:qFormat/>
    <w:uiPriority w:val="0"/>
    <w:rPr>
      <w:bdr w:val="single" w:color="EEEEEE" w:sz="6" w:space="0"/>
      <w:shd w:val="clear" w:fill="FFFFFF"/>
    </w:rPr>
  </w:style>
  <w:style w:type="character" w:customStyle="1" w:styleId="52">
    <w:name w:val="sp"/>
    <w:basedOn w:val="30"/>
    <w:autoRedefine/>
    <w:qFormat/>
    <w:uiPriority w:val="0"/>
    <w:rPr>
      <w:b/>
      <w:bCs/>
    </w:rPr>
  </w:style>
  <w:style w:type="character" w:customStyle="1" w:styleId="53">
    <w:name w:val="sp1"/>
    <w:basedOn w:val="30"/>
    <w:autoRedefine/>
    <w:qFormat/>
    <w:uiPriority w:val="0"/>
    <w:rPr>
      <w:b/>
      <w:bCs/>
    </w:rPr>
  </w:style>
  <w:style w:type="character" w:customStyle="1" w:styleId="54">
    <w:name w:val="before"/>
    <w:basedOn w:val="30"/>
    <w:autoRedefine/>
    <w:qFormat/>
    <w:uiPriority w:val="0"/>
    <w:rPr>
      <w:shd w:val="clear" w:fill="DEDEDE"/>
    </w:rPr>
  </w:style>
  <w:style w:type="character" w:customStyle="1" w:styleId="55">
    <w:name w:val="hover"/>
    <w:basedOn w:val="30"/>
    <w:autoRedefine/>
    <w:qFormat/>
    <w:uiPriority w:val="0"/>
    <w:rPr>
      <w:color w:val="5FB878"/>
    </w:rPr>
  </w:style>
  <w:style w:type="character" w:customStyle="1" w:styleId="56">
    <w:name w:val="hover1"/>
    <w:basedOn w:val="30"/>
    <w:autoRedefine/>
    <w:qFormat/>
    <w:uiPriority w:val="0"/>
    <w:rPr>
      <w:color w:val="FFFFFF"/>
    </w:rPr>
  </w:style>
  <w:style w:type="character" w:customStyle="1" w:styleId="57">
    <w:name w:val="hover2"/>
    <w:basedOn w:val="30"/>
    <w:autoRedefine/>
    <w:qFormat/>
    <w:uiPriority w:val="0"/>
    <w:rPr>
      <w:color w:val="5FB878"/>
    </w:rPr>
  </w:style>
  <w:style w:type="character" w:customStyle="1" w:styleId="58">
    <w:name w:val="layui-this"/>
    <w:basedOn w:val="30"/>
    <w:autoRedefine/>
    <w:qFormat/>
    <w:uiPriority w:val="0"/>
    <w:rPr>
      <w:bdr w:val="single" w:color="EEEEEE" w:sz="6" w:space="0"/>
      <w:shd w:val="clear" w:fill="FFFFFF"/>
    </w:rPr>
  </w:style>
  <w:style w:type="paragraph" w:styleId="59">
    <w:name w:val="List Paragraph"/>
    <w:basedOn w:val="1"/>
    <w:autoRedefine/>
    <w:qFormat/>
    <w:uiPriority w:val="1"/>
    <w:pPr>
      <w:ind w:left="430" w:firstLine="471"/>
    </w:pPr>
    <w:rPr>
      <w:rFonts w:ascii="宋体" w:hAnsi="宋体" w:eastAsia="宋体" w:cs="宋体"/>
      <w:lang w:val="zh-CN" w:eastAsia="zh-CN" w:bidi="zh-CN"/>
    </w:rPr>
  </w:style>
  <w:style w:type="paragraph" w:customStyle="1" w:styleId="60">
    <w:name w:val="正文缩进1"/>
    <w:basedOn w:val="1"/>
    <w:autoRedefine/>
    <w:qFormat/>
    <w:uiPriority w:val="0"/>
    <w:pPr>
      <w:widowControl w:val="0"/>
      <w:autoSpaceDE w:val="0"/>
      <w:autoSpaceDN w:val="0"/>
      <w:adjustRightInd w:val="0"/>
      <w:ind w:firstLine="420"/>
    </w:pPr>
    <w:rPr>
      <w:rFonts w:hAnsi="Times New Roman" w:cs="Times New Roman"/>
      <w:szCs w:val="20"/>
    </w:rPr>
  </w:style>
  <w:style w:type="paragraph" w:customStyle="1" w:styleId="61">
    <w:name w:val="索引 11"/>
    <w:basedOn w:val="1"/>
    <w:next w:val="1"/>
    <w:autoRedefine/>
    <w:qFormat/>
    <w:uiPriority w:val="0"/>
    <w:pPr>
      <w:widowControl w:val="0"/>
      <w:spacing w:line="360" w:lineRule="auto"/>
      <w:jc w:val="both"/>
    </w:pPr>
    <w:rPr>
      <w:rFonts w:ascii="仿宋_GB2312" w:hAnsi="Times New Roman" w:eastAsia="仿宋_GB2312" w:cs="Times New Roman"/>
      <w:kern w:val="2"/>
      <w:szCs w:val="20"/>
    </w:rPr>
  </w:style>
  <w:style w:type="paragraph" w:customStyle="1" w:styleId="62">
    <w:name w:val="纯文本1"/>
    <w:basedOn w:val="1"/>
    <w:autoRedefine/>
    <w:qFormat/>
    <w:uiPriority w:val="0"/>
    <w:pPr>
      <w:widowControl w:val="0"/>
      <w:jc w:val="both"/>
    </w:pPr>
    <w:rPr>
      <w:rFonts w:hAnsi="Courier New" w:cs="Times New Roman"/>
      <w:sz w:val="20"/>
      <w:szCs w:val="20"/>
    </w:rPr>
  </w:style>
  <w:style w:type="table" w:customStyle="1" w:styleId="63">
    <w:name w:val="Table Normal"/>
    <w:autoRedefine/>
    <w:semiHidden/>
    <w:unhideWhenUsed/>
    <w:qFormat/>
    <w:uiPriority w:val="0"/>
    <w:tblPr>
      <w:tblCellMar>
        <w:top w:w="0" w:type="dxa"/>
        <w:left w:w="0" w:type="dxa"/>
        <w:bottom w:w="0" w:type="dxa"/>
        <w:right w:w="0" w:type="dxa"/>
      </w:tblCellMar>
    </w:tblPr>
  </w:style>
  <w:style w:type="paragraph" w:customStyle="1" w:styleId="64">
    <w:name w:val="Table Text"/>
    <w:basedOn w:val="1"/>
    <w:autoRedefine/>
    <w:semiHidden/>
    <w:qFormat/>
    <w:uiPriority w:val="0"/>
    <w:rPr>
      <w:rFonts w:ascii="宋体" w:hAnsi="宋体" w:eastAsia="宋体" w:cs="宋体"/>
      <w:sz w:val="20"/>
      <w:szCs w:val="20"/>
      <w:lang w:val="en-US" w:eastAsia="en-US" w:bidi="ar-SA"/>
    </w:rPr>
  </w:style>
  <w:style w:type="character" w:customStyle="1" w:styleId="65">
    <w:name w:val="NormalCharacter"/>
    <w:autoRedefine/>
    <w:semiHidden/>
    <w:qFormat/>
    <w:uiPriority w:val="0"/>
  </w:style>
  <w:style w:type="paragraph" w:customStyle="1" w:styleId="66">
    <w:name w:val="Char Char Char Char"/>
    <w:basedOn w:val="9"/>
    <w:autoRedefine/>
    <w:qFormat/>
    <w:uiPriority w:val="0"/>
    <w:pPr>
      <w:adjustRightInd w:val="0"/>
      <w:snapToGrid w:val="0"/>
      <w:spacing w:line="360" w:lineRule="auto"/>
    </w:pPr>
    <w:rPr>
      <w:rFonts w:ascii="仿宋_GB2312" w:eastAsia="仿宋_GB2312"/>
      <w:kern w:val="2"/>
      <w:sz w:val="24"/>
      <w:szCs w:val="24"/>
      <w:lang w:val="en-US" w:eastAsia="zh-CN" w:bidi="ar-SA"/>
    </w:rPr>
  </w:style>
  <w:style w:type="character" w:customStyle="1" w:styleId="67">
    <w:name w:val="w40b"/>
    <w:basedOn w:val="30"/>
    <w:qFormat/>
    <w:uiPriority w:val="0"/>
  </w:style>
  <w:style w:type="character" w:customStyle="1" w:styleId="68">
    <w:name w:val="fresh"/>
    <w:basedOn w:val="30"/>
    <w:qFormat/>
    <w:uiPriority w:val="0"/>
  </w:style>
  <w:style w:type="character" w:customStyle="1" w:styleId="69">
    <w:name w:val="w84b"/>
    <w:basedOn w:val="30"/>
    <w:qFormat/>
    <w:uiPriority w:val="0"/>
  </w:style>
  <w:style w:type="character" w:customStyle="1" w:styleId="70">
    <w:name w:val="ck"/>
    <w:basedOn w:val="30"/>
    <w:qFormat/>
    <w:uiPriority w:val="0"/>
  </w:style>
  <w:style w:type="character" w:customStyle="1" w:styleId="71">
    <w:name w:val="last-child2"/>
    <w:basedOn w:val="30"/>
    <w:qFormat/>
    <w:uiPriority w:val="0"/>
  </w:style>
  <w:style w:type="character" w:customStyle="1" w:styleId="72">
    <w:name w:val="w35b"/>
    <w:basedOn w:val="30"/>
    <w:qFormat/>
    <w:uiPriority w:val="0"/>
  </w:style>
  <w:style w:type="character" w:customStyle="1" w:styleId="73">
    <w:name w:val="txt-tips"/>
    <w:basedOn w:val="30"/>
    <w:qFormat/>
    <w:uiPriority w:val="0"/>
    <w:rPr>
      <w:color w:val="A9B0B4"/>
    </w:rPr>
  </w:style>
  <w:style w:type="character" w:customStyle="1" w:styleId="74">
    <w:name w:val="txt-tips1"/>
    <w:basedOn w:val="30"/>
    <w:qFormat/>
    <w:uiPriority w:val="0"/>
    <w:rPr>
      <w:color w:val="A9B0B4"/>
      <w:sz w:val="12"/>
      <w:szCs w:val="12"/>
    </w:rPr>
  </w:style>
  <w:style w:type="character" w:customStyle="1" w:styleId="75">
    <w:name w:val="txt-tips2"/>
    <w:basedOn w:val="30"/>
    <w:qFormat/>
    <w:uiPriority w:val="0"/>
    <w:rPr>
      <w:color w:val="A9B0B4"/>
    </w:rPr>
  </w:style>
  <w:style w:type="character" w:customStyle="1" w:styleId="76">
    <w:name w:val="hover31"/>
    <w:basedOn w:val="30"/>
    <w:qFormat/>
    <w:uiPriority w:val="0"/>
    <w:rPr>
      <w:shd w:val="clear" w:fill="EEEEEE"/>
    </w:rPr>
  </w:style>
  <w:style w:type="character" w:customStyle="1" w:styleId="77">
    <w:name w:val="pt"/>
    <w:basedOn w:val="30"/>
    <w:qFormat/>
    <w:uiPriority w:val="0"/>
  </w:style>
  <w:style w:type="character" w:customStyle="1" w:styleId="78">
    <w:name w:val="w32b"/>
    <w:basedOn w:val="30"/>
    <w:qFormat/>
    <w:uiPriority w:val="0"/>
  </w:style>
  <w:style w:type="character" w:customStyle="1" w:styleId="79">
    <w:name w:val="wp"/>
    <w:basedOn w:val="30"/>
    <w:qFormat/>
    <w:uiPriority w:val="0"/>
  </w:style>
  <w:style w:type="character" w:customStyle="1" w:styleId="80">
    <w:name w:val="spacing5"/>
    <w:basedOn w:val="30"/>
    <w:qFormat/>
    <w:uiPriority w:val="0"/>
    <w:rPr>
      <w:spacing w:val="50"/>
    </w:rPr>
  </w:style>
  <w:style w:type="character" w:customStyle="1" w:styleId="81">
    <w:name w:val="w60b4"/>
    <w:basedOn w:val="30"/>
    <w:qFormat/>
    <w:uiPriority w:val="0"/>
  </w:style>
  <w:style w:type="character" w:customStyle="1" w:styleId="82">
    <w:name w:val="sc"/>
    <w:basedOn w:val="30"/>
    <w:qFormat/>
    <w:uiPriority w:val="0"/>
  </w:style>
  <w:style w:type="character" w:customStyle="1" w:styleId="83">
    <w:name w:val="id"/>
    <w:basedOn w:val="30"/>
    <w:qFormat/>
    <w:uiPriority w:val="0"/>
    <w:rPr>
      <w:color w:val="FFFFFF"/>
      <w:shd w:val="clear" w:fill="0269F1"/>
    </w:rPr>
  </w:style>
  <w:style w:type="character" w:customStyle="1" w:styleId="84">
    <w:name w:val="radiospan"/>
    <w:basedOn w:val="30"/>
    <w:qFormat/>
    <w:uiPriority w:val="0"/>
  </w:style>
  <w:style w:type="character" w:customStyle="1" w:styleId="85">
    <w:name w:val="w19b"/>
    <w:basedOn w:val="30"/>
    <w:qFormat/>
    <w:uiPriority w:val="0"/>
  </w:style>
  <w:style w:type="character" w:customStyle="1" w:styleId="86">
    <w:name w:val="more"/>
    <w:basedOn w:val="30"/>
    <w:qFormat/>
    <w:uiPriority w:val="0"/>
  </w:style>
  <w:style w:type="character" w:customStyle="1" w:styleId="87">
    <w:name w:val="redtext"/>
    <w:basedOn w:val="30"/>
    <w:qFormat/>
    <w:uiPriority w:val="0"/>
    <w:rPr>
      <w:color w:val="FF0000"/>
    </w:rPr>
  </w:style>
  <w:style w:type="character" w:customStyle="1" w:styleId="88">
    <w:name w:val="w34b"/>
    <w:basedOn w:val="30"/>
    <w:qFormat/>
    <w:uiPriority w:val="0"/>
  </w:style>
  <w:style w:type="character" w:customStyle="1" w:styleId="89">
    <w:name w:val="zybh2"/>
    <w:basedOn w:val="30"/>
    <w:qFormat/>
    <w:uiPriority w:val="0"/>
    <w:rPr>
      <w:b/>
      <w:bCs/>
      <w:color w:val="F9A156"/>
    </w:rPr>
  </w:style>
  <w:style w:type="character" w:customStyle="1" w:styleId="90">
    <w:name w:val="zybh3"/>
    <w:basedOn w:val="30"/>
    <w:qFormat/>
    <w:uiPriority w:val="0"/>
    <w:rPr>
      <w:color w:val="51BDA7"/>
    </w:rPr>
  </w:style>
  <w:style w:type="character" w:customStyle="1" w:styleId="91">
    <w:name w:val="w55b"/>
    <w:basedOn w:val="30"/>
    <w:qFormat/>
    <w:uiPriority w:val="0"/>
  </w:style>
  <w:style w:type="character" w:customStyle="1" w:styleId="92">
    <w:name w:val="w50b3"/>
    <w:basedOn w:val="30"/>
    <w:qFormat/>
    <w:uiPriority w:val="0"/>
  </w:style>
  <w:style w:type="character" w:customStyle="1" w:styleId="93">
    <w:name w:val="w29b"/>
    <w:basedOn w:val="30"/>
    <w:qFormat/>
    <w:uiPriority w:val="0"/>
  </w:style>
  <w:style w:type="character" w:customStyle="1" w:styleId="94">
    <w:name w:val="w49b2"/>
    <w:basedOn w:val="30"/>
    <w:qFormat/>
    <w:uiPriority w:val="0"/>
  </w:style>
  <w:style w:type="character" w:customStyle="1" w:styleId="95">
    <w:name w:val="w72b"/>
    <w:basedOn w:val="30"/>
    <w:qFormat/>
    <w:uiPriority w:val="0"/>
  </w:style>
  <w:style w:type="character" w:customStyle="1" w:styleId="96">
    <w:name w:val="ux"/>
    <w:basedOn w:val="30"/>
    <w:qFormat/>
    <w:uiPriority w:val="0"/>
    <w:rPr>
      <w:b/>
      <w:bCs/>
      <w:u w:val="single"/>
    </w:rPr>
  </w:style>
  <w:style w:type="character" w:customStyle="1" w:styleId="97">
    <w:name w:val="time6"/>
    <w:basedOn w:val="30"/>
    <w:qFormat/>
    <w:uiPriority w:val="0"/>
    <w:rPr>
      <w:color w:val="FFFFFF"/>
      <w:sz w:val="26"/>
      <w:szCs w:val="26"/>
      <w:shd w:val="clear" w:fill="0269F1"/>
    </w:rPr>
  </w:style>
  <w:style w:type="character" w:customStyle="1" w:styleId="98">
    <w:name w:val="time"/>
    <w:basedOn w:val="30"/>
    <w:qFormat/>
    <w:uiPriority w:val="0"/>
    <w:rPr>
      <w:color w:val="FFFFFF"/>
      <w:sz w:val="26"/>
      <w:szCs w:val="26"/>
      <w:shd w:val="clear" w:fill="0269F1"/>
    </w:rPr>
  </w:style>
  <w:style w:type="character" w:customStyle="1" w:styleId="99">
    <w:name w:val="w72b2"/>
    <w:basedOn w:val="30"/>
    <w:qFormat/>
    <w:uiPriority w:val="0"/>
  </w:style>
  <w:style w:type="character" w:customStyle="1" w:styleId="100">
    <w:name w:val="last-child"/>
    <w:basedOn w:val="30"/>
    <w:qFormat/>
    <w:uiPriority w:val="0"/>
  </w:style>
  <w:style w:type="character" w:customStyle="1" w:styleId="101">
    <w:name w:val="zybh"/>
    <w:basedOn w:val="30"/>
    <w:qFormat/>
    <w:uiPriority w:val="0"/>
    <w:rPr>
      <w:b/>
      <w:bCs/>
      <w:color w:val="F9A156"/>
    </w:rPr>
  </w:style>
  <w:style w:type="character" w:customStyle="1" w:styleId="102">
    <w:name w:val="zybh1"/>
    <w:basedOn w:val="30"/>
    <w:qFormat/>
    <w:uiPriority w:val="0"/>
    <w:rPr>
      <w:color w:val="51BDA7"/>
    </w:rPr>
  </w:style>
  <w:style w:type="character" w:customStyle="1" w:styleId="103">
    <w:name w:val="hover32"/>
    <w:basedOn w:val="30"/>
    <w:qFormat/>
    <w:uiPriority w:val="0"/>
    <w:rPr>
      <w:shd w:val="clear" w:fill="EEEEEE"/>
    </w:rPr>
  </w:style>
  <w:style w:type="character" w:customStyle="1" w:styleId="104">
    <w:name w:val="w40b4"/>
    <w:basedOn w:val="30"/>
    <w:qFormat/>
    <w:uiPriority w:val="0"/>
  </w:style>
  <w:style w:type="character" w:customStyle="1" w:styleId="105">
    <w:name w:val="w50b4"/>
    <w:basedOn w:val="30"/>
    <w:qFormat/>
    <w:uiPriority w:val="0"/>
  </w:style>
  <w:style w:type="character" w:customStyle="1" w:styleId="106">
    <w:name w:val="w60b3"/>
    <w:basedOn w:val="30"/>
    <w:qFormat/>
    <w:uiPriority w:val="0"/>
  </w:style>
  <w:style w:type="paragraph" w:customStyle="1" w:styleId="107">
    <w:name w:val="正文 New"/>
    <w:qFormat/>
    <w:uiPriority w:val="0"/>
    <w:pPr>
      <w:widowControl w:val="0"/>
      <w:jc w:val="both"/>
    </w:pPr>
    <w:rPr>
      <w:rFonts w:ascii="Times New Roman" w:hAnsi="Times New Roman" w:eastAsia="宋体" w:cs="Times New Roman"/>
      <w:kern w:val="2"/>
      <w:sz w:val="21"/>
      <w:lang w:val="en-US" w:eastAsia="zh-CN"/>
    </w:rPr>
  </w:style>
  <w:style w:type="character" w:customStyle="1" w:styleId="108">
    <w:name w:val="hover28"/>
    <w:basedOn w:val="30"/>
    <w:qFormat/>
    <w:uiPriority w:val="0"/>
    <w:rPr>
      <w:shd w:val="clear" w:fill="EEEEEE"/>
    </w:rPr>
  </w:style>
  <w:style w:type="character" w:customStyle="1" w:styleId="109">
    <w:name w:val="w34b2"/>
    <w:basedOn w:val="30"/>
    <w:qFormat/>
    <w:uiPriority w:val="0"/>
  </w:style>
  <w:style w:type="character" w:customStyle="1" w:styleId="110">
    <w:name w:val="w49b"/>
    <w:basedOn w:val="30"/>
    <w:qFormat/>
    <w:uiPriority w:val="0"/>
  </w:style>
  <w:style w:type="character" w:customStyle="1" w:styleId="111">
    <w:name w:val="w35b2"/>
    <w:basedOn w:val="30"/>
    <w:qFormat/>
    <w:uiPriority w:val="0"/>
  </w:style>
  <w:style w:type="character" w:customStyle="1" w:styleId="112">
    <w:name w:val="w50b"/>
    <w:basedOn w:val="30"/>
    <w:qFormat/>
    <w:uiPriority w:val="0"/>
  </w:style>
  <w:style w:type="character" w:customStyle="1" w:styleId="113">
    <w:name w:val="w19b2"/>
    <w:basedOn w:val="30"/>
    <w:qFormat/>
    <w:uiPriority w:val="0"/>
  </w:style>
  <w:style w:type="character" w:customStyle="1" w:styleId="114">
    <w:name w:val="w55b2"/>
    <w:basedOn w:val="30"/>
    <w:qFormat/>
    <w:uiPriority w:val="0"/>
  </w:style>
  <w:style w:type="character" w:customStyle="1" w:styleId="115">
    <w:name w:val="w32b2"/>
    <w:basedOn w:val="30"/>
    <w:qFormat/>
    <w:uiPriority w:val="0"/>
  </w:style>
  <w:style w:type="paragraph" w:customStyle="1" w:styleId="116">
    <w:name w:val="无间隔1"/>
    <w:basedOn w:val="1"/>
    <w:qFormat/>
    <w:uiPriority w:val="1"/>
    <w:pPr>
      <w:spacing w:line="400" w:lineRule="exact"/>
    </w:pPr>
    <w:rPr>
      <w:sz w:val="24"/>
    </w:rPr>
  </w:style>
  <w:style w:type="character" w:customStyle="1" w:styleId="117">
    <w:name w:val="txt-tips6"/>
    <w:basedOn w:val="30"/>
    <w:qFormat/>
    <w:uiPriority w:val="0"/>
    <w:rPr>
      <w:color w:val="A9B0B4"/>
    </w:rPr>
  </w:style>
  <w:style w:type="character" w:customStyle="1" w:styleId="118">
    <w:name w:val="txt-tips7"/>
    <w:basedOn w:val="30"/>
    <w:qFormat/>
    <w:uiPriority w:val="0"/>
    <w:rPr>
      <w:color w:val="A9B0B4"/>
    </w:rPr>
  </w:style>
  <w:style w:type="character" w:customStyle="1" w:styleId="119">
    <w:name w:val="txt-tips8"/>
    <w:basedOn w:val="30"/>
    <w:qFormat/>
    <w:uiPriority w:val="0"/>
    <w:rPr>
      <w:color w:val="A9B0B4"/>
      <w:sz w:val="12"/>
      <w:szCs w:val="12"/>
    </w:rPr>
  </w:style>
  <w:style w:type="character" w:customStyle="1" w:styleId="120">
    <w:name w:val="w84b2"/>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17847</Words>
  <Characters>19373</Characters>
  <Lines>0</Lines>
  <Paragraphs>0</Paragraphs>
  <TotalTime>2</TotalTime>
  <ScaleCrop>false</ScaleCrop>
  <LinksUpToDate>false</LinksUpToDate>
  <CharactersWithSpaces>19896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2022-11-15T01:58:00Z</dcterms:created>
  <dc:creator>一缕阳光 </dc:creator>
  <cp:lastModifiedBy>WPS_1731398872</cp:lastModifiedBy>
  <cp:lastPrinted>2024-10-18T07:45:00Z</cp:lastPrinted>
  <dcterms:modified xsi:type="dcterms:W3CDTF">2024-11-27T09:37:32Z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467BFEE42AB448A38ABD57EC1BDAC872_13</vt:lpwstr>
  </property>
</Properties>
</file>